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3A1B" w14:textId="6F2BB3EF" w:rsidR="00BC3F20" w:rsidRPr="002A714F" w:rsidRDefault="00BC3F20" w:rsidP="00151180">
      <w:pPr>
        <w:jc w:val="center"/>
        <w:rPr>
          <w:rFonts w:ascii="Arial" w:hAnsi="Arial" w:cs="Arial"/>
          <w:b/>
          <w:bCs/>
          <w:sz w:val="28"/>
          <w:szCs w:val="28"/>
        </w:rPr>
      </w:pPr>
      <w:r w:rsidRPr="002A714F">
        <w:rPr>
          <w:rFonts w:ascii="Arial" w:hAnsi="Arial" w:cs="Arial"/>
          <w:b/>
          <w:bCs/>
          <w:sz w:val="28"/>
          <w:szCs w:val="28"/>
        </w:rPr>
        <w:t>Airbus informa los resultados del primer semestre de 2023</w:t>
      </w:r>
    </w:p>
    <w:p w14:paraId="61CBBD5A" w14:textId="2DDBB425" w:rsidR="00BC3F20" w:rsidRPr="00636057" w:rsidRDefault="00BC3F20" w:rsidP="00BC3F20">
      <w:pPr>
        <w:pStyle w:val="Prrafodelista"/>
        <w:numPr>
          <w:ilvl w:val="0"/>
          <w:numId w:val="5"/>
        </w:numPr>
        <w:jc w:val="both"/>
        <w:rPr>
          <w:rFonts w:ascii="Arial" w:hAnsi="Arial" w:cs="Arial"/>
        </w:rPr>
      </w:pPr>
      <w:r w:rsidRPr="00636057">
        <w:rPr>
          <w:rFonts w:ascii="Arial" w:hAnsi="Arial" w:cs="Arial"/>
        </w:rPr>
        <w:t>Se entregaron 316 aviones comerciales en</w:t>
      </w:r>
      <w:r w:rsidR="00151180" w:rsidRPr="00636057">
        <w:rPr>
          <w:rFonts w:ascii="Arial" w:hAnsi="Arial" w:cs="Arial"/>
        </w:rPr>
        <w:t xml:space="preserve"> el primer semestre</w:t>
      </w:r>
      <w:r w:rsidRPr="00636057">
        <w:rPr>
          <w:rFonts w:ascii="Arial" w:hAnsi="Arial" w:cs="Arial"/>
        </w:rPr>
        <w:t xml:space="preserve"> de 2023.</w:t>
      </w:r>
    </w:p>
    <w:p w14:paraId="602C1197" w14:textId="09ED0B9E" w:rsidR="00BC3F20" w:rsidRPr="00636057" w:rsidRDefault="00BC3F20" w:rsidP="00BC3F20">
      <w:pPr>
        <w:pStyle w:val="Prrafodelista"/>
        <w:numPr>
          <w:ilvl w:val="0"/>
          <w:numId w:val="5"/>
        </w:numPr>
        <w:jc w:val="both"/>
        <w:rPr>
          <w:rFonts w:ascii="Arial" w:hAnsi="Arial" w:cs="Arial"/>
        </w:rPr>
      </w:pPr>
      <w:r w:rsidRPr="00636057">
        <w:rPr>
          <w:rFonts w:ascii="Arial" w:hAnsi="Arial" w:cs="Arial"/>
        </w:rPr>
        <w:t xml:space="preserve">Ingresos de € 27.7 mil millones; EBIT </w:t>
      </w:r>
      <w:r w:rsidR="00151180" w:rsidRPr="00636057">
        <w:rPr>
          <w:rFonts w:ascii="Arial" w:hAnsi="Arial" w:cs="Arial"/>
        </w:rPr>
        <w:t>a</w:t>
      </w:r>
      <w:r w:rsidRPr="00636057">
        <w:rPr>
          <w:rFonts w:ascii="Arial" w:hAnsi="Arial" w:cs="Arial"/>
        </w:rPr>
        <w:t>justado de € 2.6 mil millones.</w:t>
      </w:r>
    </w:p>
    <w:p w14:paraId="15ABC8BE" w14:textId="065D3624" w:rsidR="00BC3F20" w:rsidRPr="00636057" w:rsidRDefault="00BC3F20" w:rsidP="00BC3F20">
      <w:pPr>
        <w:pStyle w:val="Prrafodelista"/>
        <w:numPr>
          <w:ilvl w:val="0"/>
          <w:numId w:val="5"/>
        </w:numPr>
        <w:jc w:val="both"/>
        <w:rPr>
          <w:rFonts w:ascii="Arial" w:hAnsi="Arial" w:cs="Arial"/>
        </w:rPr>
      </w:pPr>
      <w:r w:rsidRPr="00636057">
        <w:rPr>
          <w:rFonts w:ascii="Arial" w:hAnsi="Arial" w:cs="Arial"/>
        </w:rPr>
        <w:t xml:space="preserve">EBIT (reportado) de € 1.9 mil millones; </w:t>
      </w:r>
      <w:r w:rsidR="00151180" w:rsidRPr="00636057">
        <w:rPr>
          <w:rFonts w:ascii="Arial" w:hAnsi="Arial" w:cs="Arial"/>
        </w:rPr>
        <w:t>BPA</w:t>
      </w:r>
      <w:r w:rsidRPr="00636057">
        <w:rPr>
          <w:rFonts w:ascii="Arial" w:hAnsi="Arial" w:cs="Arial"/>
        </w:rPr>
        <w:t xml:space="preserve"> (reportado) de € 1.94.</w:t>
      </w:r>
    </w:p>
    <w:p w14:paraId="7A40D04D" w14:textId="4BA4E958" w:rsidR="00BC3F20" w:rsidRPr="00636057" w:rsidRDefault="00BC3F20" w:rsidP="00BC3F20">
      <w:pPr>
        <w:pStyle w:val="Prrafodelista"/>
        <w:numPr>
          <w:ilvl w:val="0"/>
          <w:numId w:val="5"/>
        </w:numPr>
        <w:jc w:val="both"/>
        <w:rPr>
          <w:rFonts w:ascii="Arial" w:hAnsi="Arial" w:cs="Arial"/>
        </w:rPr>
      </w:pPr>
      <w:r w:rsidRPr="00636057">
        <w:rPr>
          <w:rFonts w:ascii="Arial" w:hAnsi="Arial" w:cs="Arial"/>
        </w:rPr>
        <w:t>Flujo de caja libre antes de fusiones y adquisiciones y financiamiento al cliente de € 1.6 mil millones.</w:t>
      </w:r>
    </w:p>
    <w:p w14:paraId="1BB6BBA6" w14:textId="1E6E1641" w:rsidR="00BC3F20" w:rsidRPr="00636057" w:rsidRDefault="00BC3F20" w:rsidP="00BC3F20">
      <w:pPr>
        <w:pStyle w:val="Prrafodelista"/>
        <w:numPr>
          <w:ilvl w:val="0"/>
          <w:numId w:val="5"/>
        </w:numPr>
        <w:jc w:val="both"/>
        <w:rPr>
          <w:rFonts w:ascii="Arial" w:hAnsi="Arial" w:cs="Arial"/>
        </w:rPr>
      </w:pPr>
      <w:r w:rsidRPr="00636057">
        <w:rPr>
          <w:rFonts w:ascii="Arial" w:hAnsi="Arial" w:cs="Arial"/>
        </w:rPr>
        <w:t>Mantenemos las perspectivas para el año 2023.</w:t>
      </w:r>
    </w:p>
    <w:p w14:paraId="5BC755BC" w14:textId="77777777" w:rsidR="00BC3F20" w:rsidRPr="002A714F" w:rsidRDefault="00BC3F20" w:rsidP="00BC3F20">
      <w:pPr>
        <w:pStyle w:val="Prrafodelista"/>
        <w:jc w:val="both"/>
        <w:rPr>
          <w:rFonts w:ascii="Arial" w:hAnsi="Arial" w:cs="Arial"/>
        </w:rPr>
      </w:pPr>
    </w:p>
    <w:p w14:paraId="3E1F0251" w14:textId="614D619A" w:rsidR="00BC3F20" w:rsidRPr="002A714F" w:rsidRDefault="00BC3F20" w:rsidP="00BC3F20">
      <w:pPr>
        <w:jc w:val="both"/>
        <w:rPr>
          <w:rFonts w:ascii="Arial" w:hAnsi="Arial" w:cs="Arial"/>
        </w:rPr>
      </w:pPr>
      <w:r w:rsidRPr="002A714F">
        <w:rPr>
          <w:rFonts w:ascii="Arial" w:hAnsi="Arial" w:cs="Arial"/>
          <w:b/>
          <w:bCs/>
        </w:rPr>
        <w:t>Ámsterdam, 2</w:t>
      </w:r>
      <w:r w:rsidR="00D1476F">
        <w:rPr>
          <w:rFonts w:ascii="Arial" w:hAnsi="Arial" w:cs="Arial"/>
          <w:b/>
          <w:bCs/>
        </w:rPr>
        <w:t>7</w:t>
      </w:r>
      <w:r w:rsidRPr="002A714F">
        <w:rPr>
          <w:rFonts w:ascii="Arial" w:hAnsi="Arial" w:cs="Arial"/>
          <w:b/>
          <w:bCs/>
        </w:rPr>
        <w:t xml:space="preserve"> de julio de 2023</w:t>
      </w:r>
      <w:r w:rsidRPr="002A714F">
        <w:rPr>
          <w:rFonts w:ascii="Arial" w:hAnsi="Arial" w:cs="Arial"/>
        </w:rPr>
        <w:t xml:space="preserve"> - Airbus SE (símbolo en bolsa: AIR) reportó los resultados financieros consolidados del primer semestre (H1) que terminó el 30 de junio de 2023.</w:t>
      </w:r>
    </w:p>
    <w:p w14:paraId="50076ED5" w14:textId="40C6C42D" w:rsidR="00BC3F20" w:rsidRPr="002A714F" w:rsidRDefault="00BC3F20" w:rsidP="00BC3F20">
      <w:pPr>
        <w:jc w:val="both"/>
        <w:rPr>
          <w:rFonts w:ascii="Arial" w:hAnsi="Arial" w:cs="Arial"/>
        </w:rPr>
      </w:pPr>
      <w:r w:rsidRPr="002A714F">
        <w:rPr>
          <w:rFonts w:ascii="Arial" w:hAnsi="Arial" w:cs="Arial"/>
        </w:rPr>
        <w:t xml:space="preserve">"Durante la primera mitad de 2023 progresamos satisfactoriamente en todas nuestras empresas en un entorno operativo que sigue siendo complejo. Nuestros aviones comerciales tienen una fuerte demanda, como se demostró con más de 800 pedidos anunciados en el </w:t>
      </w:r>
      <w:r w:rsidR="00151180" w:rsidRPr="002A714F">
        <w:rPr>
          <w:rFonts w:ascii="Arial" w:hAnsi="Arial" w:cs="Arial"/>
        </w:rPr>
        <w:t>Paris Air Show</w:t>
      </w:r>
      <w:r w:rsidRPr="002A714F">
        <w:rPr>
          <w:rFonts w:ascii="Arial" w:hAnsi="Arial" w:cs="Arial"/>
        </w:rPr>
        <w:t>. Esta demanda se debe tanto al crecimiento como al reemplazo de flotas, ya que las aerolíneas invierten en flotas más eficientes en el consumo de combustible", dijo Guillaume Faury, Director Ejecutivo de Airbus. "Basándonos en el desempeño del H1, mantenemos nuestras perspectivas para el año 2023".</w:t>
      </w:r>
    </w:p>
    <w:p w14:paraId="0673A48F" w14:textId="2A01EBD0" w:rsidR="00BC3F20" w:rsidRPr="002A714F" w:rsidRDefault="00BC3F20" w:rsidP="00BC3F20">
      <w:pPr>
        <w:jc w:val="both"/>
        <w:rPr>
          <w:rFonts w:ascii="Arial" w:hAnsi="Arial" w:cs="Arial"/>
        </w:rPr>
      </w:pPr>
      <w:r w:rsidRPr="002A714F">
        <w:rPr>
          <w:rFonts w:ascii="Arial" w:hAnsi="Arial" w:cs="Arial"/>
        </w:rPr>
        <w:t>Los pedidos brutos de aviones comerciales totalizaron 1,080 (</w:t>
      </w:r>
      <w:r w:rsidR="007C4DD5" w:rsidRPr="002A714F">
        <w:rPr>
          <w:rFonts w:ascii="Arial" w:hAnsi="Arial" w:cs="Arial"/>
        </w:rPr>
        <w:t xml:space="preserve">H1 </w:t>
      </w:r>
      <w:r w:rsidRPr="002A714F">
        <w:rPr>
          <w:rFonts w:ascii="Arial" w:hAnsi="Arial" w:cs="Arial"/>
        </w:rPr>
        <w:t>2022: 442 aviones) con un total neto de 1,044 aviones después de cancelaciones (</w:t>
      </w:r>
      <w:r w:rsidR="007C4DD5" w:rsidRPr="002A714F">
        <w:rPr>
          <w:rFonts w:ascii="Arial" w:hAnsi="Arial" w:cs="Arial"/>
        </w:rPr>
        <w:t xml:space="preserve">H1 </w:t>
      </w:r>
      <w:r w:rsidRPr="002A714F">
        <w:rPr>
          <w:rFonts w:ascii="Arial" w:hAnsi="Arial" w:cs="Arial"/>
        </w:rPr>
        <w:t>2022: 259 aviones). El backlog de pedidos ascendió a un récord de 7,967 aviones comerciales al final de junio de 2023. Airbus Helicopters registró 131 pedidos netos (</w:t>
      </w:r>
      <w:r w:rsidR="006647DC" w:rsidRPr="002A714F">
        <w:rPr>
          <w:rFonts w:ascii="Arial" w:hAnsi="Arial" w:cs="Arial"/>
        </w:rPr>
        <w:t xml:space="preserve">H1 </w:t>
      </w:r>
      <w:r w:rsidRPr="002A714F">
        <w:rPr>
          <w:rFonts w:ascii="Arial" w:hAnsi="Arial" w:cs="Arial"/>
        </w:rPr>
        <w:t>2022: 163 unidades) bien distribuidos entre programas e incluyendo 19 H160. El valor de la cartera de pedidos de Airbus Defence and Space fue de € 6.0 mil millones (H1 2022: € 6.5 mil millones), incluyendo 4 nuevos A330 Multi Role Tanker Transport para Canadá y 5 conversiones.</w:t>
      </w:r>
    </w:p>
    <w:p w14:paraId="546E4696" w14:textId="023FB960" w:rsidR="00BC3F20" w:rsidRPr="002A714F" w:rsidRDefault="00BC3F20" w:rsidP="00BC3F20">
      <w:pPr>
        <w:jc w:val="both"/>
        <w:rPr>
          <w:rFonts w:ascii="Arial" w:hAnsi="Arial" w:cs="Arial"/>
        </w:rPr>
      </w:pPr>
      <w:r w:rsidRPr="002A714F">
        <w:rPr>
          <w:rFonts w:ascii="Arial" w:hAnsi="Arial" w:cs="Arial"/>
        </w:rPr>
        <w:t>Los</w:t>
      </w:r>
      <w:r w:rsidRPr="00636057">
        <w:rPr>
          <w:rFonts w:ascii="Arial" w:hAnsi="Arial" w:cs="Arial"/>
          <w:b/>
          <w:bCs/>
        </w:rPr>
        <w:t xml:space="preserve"> ingresos</w:t>
      </w:r>
      <w:r w:rsidRPr="002A714F">
        <w:rPr>
          <w:rFonts w:ascii="Arial" w:hAnsi="Arial" w:cs="Arial"/>
        </w:rPr>
        <w:t xml:space="preserve"> consolidados aumentaron un 11 por ciento con respecto al año anterior, llegando a € 27.7 mil millones (H1 2022: € 24.8 mil millones). Se entregaron un total de 316 aviones comerciales (H1 2022: 297</w:t>
      </w:r>
      <w:r w:rsidRPr="002A714F">
        <w:rPr>
          <w:rFonts w:ascii="Arial" w:hAnsi="Arial" w:cs="Arial"/>
          <w:vertAlign w:val="superscript"/>
        </w:rPr>
        <w:t>(1)(2)</w:t>
      </w:r>
      <w:r w:rsidRPr="002A714F">
        <w:rPr>
          <w:rFonts w:ascii="Arial" w:hAnsi="Arial" w:cs="Arial"/>
        </w:rPr>
        <w:t xml:space="preserve"> aviones), incluyendo 25 A220, 256 de la Familia A320, 14 A330 y 21 A350. Los ingresos generados por las actividades de aviones comerciales de Airbus aumentaron un 16 por ciento, reflejando principalmente el mayor número de entregas. Las entregas de Airbus Helicopters aumentaron a 145 unidades (H1 2022: 115 unidades), impulsadas principalmente por el segmento de helicópteros ligeros. Los ingresos de la división aumentaron un 16 por ciento, reflejando una sólida ejecución en todos los programas y servicios. Los ingresos de Airbus Defence and Space disminuyeron un 8 por ciento, impulsados principalmente por retrasos en el área de Sistemas Espaciales y por cambios en la entrega en el área de Sistemas Militares de Aviación. Se entregaron tres aviones A400M en el H1 de 2023.</w:t>
      </w:r>
    </w:p>
    <w:p w14:paraId="2596D909" w14:textId="77777777" w:rsidR="00BC3F20" w:rsidRPr="002A714F" w:rsidRDefault="00BC3F20" w:rsidP="00BC3F20">
      <w:pPr>
        <w:jc w:val="both"/>
        <w:rPr>
          <w:rFonts w:ascii="Arial" w:hAnsi="Arial" w:cs="Arial"/>
        </w:rPr>
      </w:pPr>
      <w:r w:rsidRPr="002A714F">
        <w:rPr>
          <w:rFonts w:ascii="Arial" w:hAnsi="Arial" w:cs="Arial"/>
        </w:rPr>
        <w:t xml:space="preserve">El </w:t>
      </w:r>
      <w:r w:rsidRPr="00636057">
        <w:rPr>
          <w:rFonts w:ascii="Arial" w:hAnsi="Arial" w:cs="Arial"/>
          <w:b/>
          <w:bCs/>
        </w:rPr>
        <w:t xml:space="preserve">EBIT Ajustado </w:t>
      </w:r>
      <w:r w:rsidRPr="002A714F">
        <w:rPr>
          <w:rFonts w:ascii="Arial" w:hAnsi="Arial" w:cs="Arial"/>
        </w:rPr>
        <w:t>consolidado, una medida de rendimiento alternativa e indicador clave que capta el margen subyacente del negocio al excluir cargos o ganancias relacionados con movimientos en provisiones de programas, reestructuración o impactos de divisas, así como ganancias/pérdidas de la venta y adquisición de negocios, fue de € 2,618 millones (H1 2022: € 2,645 millones).</w:t>
      </w:r>
    </w:p>
    <w:p w14:paraId="2711015E" w14:textId="77777777" w:rsidR="00BC3F20" w:rsidRPr="002A714F" w:rsidRDefault="00BC3F20" w:rsidP="00BC3F20">
      <w:pPr>
        <w:jc w:val="both"/>
        <w:rPr>
          <w:rFonts w:ascii="Arial" w:hAnsi="Arial" w:cs="Arial"/>
        </w:rPr>
      </w:pPr>
    </w:p>
    <w:p w14:paraId="69535CB2" w14:textId="61B739F7" w:rsidR="00BC3F20" w:rsidRPr="002A714F" w:rsidRDefault="00BC3F20" w:rsidP="00BC3F20">
      <w:pPr>
        <w:jc w:val="both"/>
        <w:rPr>
          <w:rFonts w:ascii="Arial" w:hAnsi="Arial" w:cs="Arial"/>
        </w:rPr>
      </w:pPr>
      <w:r w:rsidRPr="002A714F">
        <w:rPr>
          <w:rFonts w:ascii="Arial" w:hAnsi="Arial" w:cs="Arial"/>
        </w:rPr>
        <w:lastRenderedPageBreak/>
        <w:t>El EBIT Ajustado relacionado con las actividades de aviones comerciales de Airbus fue estable en € 2,256 millones (H1 2022: € 2,276 millones). El efecto positivo del aumento de entregas, apoyado por un tipo de cambio más favorable, fue parcialmente reducido por inversiones destinadas a preparar el futuro. En el H1 de 2022 se incluyó el impacto positivo no recurrente relacionado con las obligaciones de retiro, parcialmente compensado por el impacto resultante de las sanciones internacionales contra Rusia. En el H1 de 2023 se avanzó más en temas relacionados con el cumplimiento, lo que permitió la liberación de provisiones.</w:t>
      </w:r>
    </w:p>
    <w:p w14:paraId="3C737A59" w14:textId="4D37AB5F" w:rsidR="00BC3F20" w:rsidRPr="002A714F" w:rsidRDefault="00BC3F20" w:rsidP="00BC3F20">
      <w:pPr>
        <w:jc w:val="both"/>
        <w:rPr>
          <w:rFonts w:ascii="Arial" w:hAnsi="Arial" w:cs="Arial"/>
        </w:rPr>
      </w:pPr>
      <w:r w:rsidRPr="002A714F">
        <w:rPr>
          <w:rFonts w:ascii="Arial" w:hAnsi="Arial" w:cs="Arial"/>
        </w:rPr>
        <w:t>La producción del programa A220 sigue aumentando hacia una tasa de producción mensual de 14 aviones a mediados de la década. En el programa de la Familia A320, la producción avanza adecuadamente hacia la tasa anunciada previamente de 75 aviones al mes en 2026. Los ajustes tácticos a la planificación de producción continuarán según sea necesario para alcanzar esta tasa objetivo, que es ahora el principal punto de referencia para la Compañía y la cadena de suministro. La reciente inauguración de una nueva línea de ensamblaje final capaz de producir A321 en Toulouse es el último hito concreto en el desarrollo del sistema industrial global de Airbus. El programa A321XLR avanza en su programa de pruebas de vuelo hacia la entrada en servicio prevista para el segundo trimestre de 2024.</w:t>
      </w:r>
    </w:p>
    <w:p w14:paraId="14540515" w14:textId="6BB648E8" w:rsidR="00BC3F20" w:rsidRPr="002A714F" w:rsidRDefault="00BC3F20" w:rsidP="00BC3F20">
      <w:pPr>
        <w:jc w:val="both"/>
        <w:rPr>
          <w:rFonts w:ascii="Arial" w:hAnsi="Arial" w:cs="Arial"/>
        </w:rPr>
      </w:pPr>
      <w:r w:rsidRPr="002A714F">
        <w:rPr>
          <w:rFonts w:ascii="Arial" w:hAnsi="Arial" w:cs="Arial"/>
        </w:rPr>
        <w:t>En cuanto a los aviones de fuselaje ancho, la Compañía sigue apuntando a una tasa de producción de 4 para el A330 en 2024 y una tasa de 9 para el A350 a finales de 2025.</w:t>
      </w:r>
    </w:p>
    <w:p w14:paraId="03ABB43C" w14:textId="4B17CD9D" w:rsidR="00BC3F20" w:rsidRPr="002A714F" w:rsidRDefault="00BC3F20" w:rsidP="00BC3F20">
      <w:pPr>
        <w:jc w:val="both"/>
        <w:rPr>
          <w:rFonts w:ascii="Arial" w:hAnsi="Arial" w:cs="Arial"/>
        </w:rPr>
      </w:pPr>
      <w:r w:rsidRPr="002A714F">
        <w:rPr>
          <w:rFonts w:ascii="Arial" w:hAnsi="Arial" w:cs="Arial"/>
        </w:rPr>
        <w:t>El EBIT Ajustado de Airbus Helicopters aumentó a € 274 millones (H1 2022: € 215 millones), reflejando la sólida ejecución en todos los programas y servicios. El H1 de 2022 también incluyó elementos positivos no recurrentes netos.</w:t>
      </w:r>
    </w:p>
    <w:p w14:paraId="19E7C7A4" w14:textId="6B37D813" w:rsidR="00BC3F20" w:rsidRPr="002A714F" w:rsidRDefault="00BC3F20" w:rsidP="00BC3F20">
      <w:pPr>
        <w:jc w:val="both"/>
        <w:rPr>
          <w:rFonts w:ascii="Arial" w:hAnsi="Arial" w:cs="Arial"/>
        </w:rPr>
      </w:pPr>
      <w:r w:rsidRPr="002A714F">
        <w:rPr>
          <w:rFonts w:ascii="Arial" w:hAnsi="Arial" w:cs="Arial"/>
        </w:rPr>
        <w:t>El EBIT Ajustado de Airbus Defence and Space disminuyó a € 78 millones (H1 2022: € 155 millones), reflejando principalmente la disminución de los ingresos, así como las nuevas suposiciones sobre algunos contratos a largo plazo, en línea con el entorno difícil del negocio espacial de la División. El H1 de 2022 también incluyó elementos positivos no recurrentes netos.</w:t>
      </w:r>
    </w:p>
    <w:p w14:paraId="30A27064" w14:textId="3F49B906" w:rsidR="00151180" w:rsidRPr="002A714F" w:rsidRDefault="00151180" w:rsidP="00151180">
      <w:pPr>
        <w:jc w:val="both"/>
        <w:rPr>
          <w:rFonts w:ascii="Arial" w:hAnsi="Arial" w:cs="Arial"/>
        </w:rPr>
      </w:pPr>
      <w:r w:rsidRPr="002A714F">
        <w:rPr>
          <w:rFonts w:ascii="Arial" w:hAnsi="Arial" w:cs="Arial"/>
        </w:rPr>
        <w:t>En el programa A400M, las actividades de desarrollo continúan avanzando hacia la consecución de la hoja de ruta de capacidades revisada. Las actividades de modernización se están llevando a cabo en estrecha alineación con el cliente. No se reconoció un impacto neto adicional en el primer semestre de 2023. Persisten riesgos relacionados con la calificación de capacidades técnicas y los costos asociados, la confiabilidad operativa de las aeronaves, las reducciones de costos y la obtención del volumen general según la línea base revisada.</w:t>
      </w:r>
    </w:p>
    <w:p w14:paraId="41285D10" w14:textId="0A4BE536" w:rsidR="00151180" w:rsidRPr="002A714F" w:rsidRDefault="00151180" w:rsidP="00151180">
      <w:pPr>
        <w:jc w:val="both"/>
        <w:rPr>
          <w:rFonts w:ascii="Arial" w:hAnsi="Arial" w:cs="Arial"/>
        </w:rPr>
      </w:pPr>
      <w:r w:rsidRPr="002A714F">
        <w:rPr>
          <w:rFonts w:ascii="Arial" w:hAnsi="Arial" w:cs="Arial"/>
        </w:rPr>
        <w:t>Los</w:t>
      </w:r>
      <w:r w:rsidRPr="00636057">
        <w:rPr>
          <w:rFonts w:ascii="Arial" w:hAnsi="Arial" w:cs="Arial"/>
          <w:b/>
          <w:bCs/>
        </w:rPr>
        <w:t xml:space="preserve"> gastos consolidados de I+D financiados</w:t>
      </w:r>
      <w:r w:rsidRPr="002A714F">
        <w:rPr>
          <w:rFonts w:ascii="Arial" w:hAnsi="Arial" w:cs="Arial"/>
        </w:rPr>
        <w:t xml:space="preserve"> por la empresa ascendieron a € 1,431 millones (H1 2022: € 1,256 millones).</w:t>
      </w:r>
    </w:p>
    <w:p w14:paraId="0A07EFFE" w14:textId="1CA50DC7" w:rsidR="00151180" w:rsidRPr="002A714F" w:rsidRDefault="00151180" w:rsidP="00151180">
      <w:pPr>
        <w:jc w:val="both"/>
        <w:rPr>
          <w:rFonts w:ascii="Arial" w:hAnsi="Arial" w:cs="Arial"/>
        </w:rPr>
      </w:pPr>
      <w:r w:rsidRPr="002A714F">
        <w:rPr>
          <w:rFonts w:ascii="Arial" w:hAnsi="Arial" w:cs="Arial"/>
        </w:rPr>
        <w:t xml:space="preserve">El </w:t>
      </w:r>
      <w:r w:rsidRPr="00636057">
        <w:rPr>
          <w:rFonts w:ascii="Arial" w:hAnsi="Arial" w:cs="Arial"/>
          <w:b/>
          <w:bCs/>
        </w:rPr>
        <w:t>EBIT consolidado</w:t>
      </w:r>
      <w:r w:rsidRPr="002A714F">
        <w:rPr>
          <w:rFonts w:ascii="Arial" w:hAnsi="Arial" w:cs="Arial"/>
        </w:rPr>
        <w:t xml:space="preserve"> (reportado) ascendió a € 1,887 millones (H1 2022: € 2,579 millones), incluyendo ajustes netos de € -731 millones.</w:t>
      </w:r>
    </w:p>
    <w:p w14:paraId="6D8E9639" w14:textId="77777777" w:rsidR="00151180" w:rsidRPr="002A714F" w:rsidRDefault="00151180" w:rsidP="00151180">
      <w:pPr>
        <w:jc w:val="both"/>
        <w:rPr>
          <w:rFonts w:ascii="Arial" w:hAnsi="Arial" w:cs="Arial"/>
        </w:rPr>
      </w:pPr>
      <w:r w:rsidRPr="002A714F">
        <w:rPr>
          <w:rFonts w:ascii="Arial" w:hAnsi="Arial" w:cs="Arial"/>
        </w:rPr>
        <w:t>Estos ajustes comprendieron:</w:t>
      </w:r>
    </w:p>
    <w:p w14:paraId="1225F655" w14:textId="5B4E0084" w:rsidR="00151180" w:rsidRPr="002A714F" w:rsidRDefault="00151180" w:rsidP="00151180">
      <w:pPr>
        <w:pStyle w:val="Prrafodelista"/>
        <w:numPr>
          <w:ilvl w:val="0"/>
          <w:numId w:val="5"/>
        </w:numPr>
        <w:jc w:val="both"/>
        <w:rPr>
          <w:rFonts w:ascii="Arial" w:hAnsi="Arial" w:cs="Arial"/>
        </w:rPr>
      </w:pPr>
      <w:r w:rsidRPr="002A714F">
        <w:rPr>
          <w:rFonts w:ascii="Arial" w:hAnsi="Arial" w:cs="Arial"/>
        </w:rPr>
        <w:lastRenderedPageBreak/>
        <w:t>€ -651 millones relacionados con el desajuste en el pago previo en dólares y la revalorización del balance, de los cuales € -291 millones correspondieron al segundo trimestre (Q2). Esto se debe principalmente al impacto del desfase entre la fecha de la transacción y la fecha de entrega.</w:t>
      </w:r>
    </w:p>
    <w:p w14:paraId="5567C477" w14:textId="42D29CCE" w:rsidR="00151180" w:rsidRPr="002A714F" w:rsidRDefault="00151180" w:rsidP="00151180">
      <w:pPr>
        <w:pStyle w:val="Prrafodelista"/>
        <w:numPr>
          <w:ilvl w:val="0"/>
          <w:numId w:val="5"/>
        </w:numPr>
        <w:jc w:val="both"/>
        <w:rPr>
          <w:rFonts w:ascii="Arial" w:hAnsi="Arial" w:cs="Arial"/>
        </w:rPr>
      </w:pPr>
      <w:r w:rsidRPr="002A714F">
        <w:rPr>
          <w:rFonts w:ascii="Arial" w:hAnsi="Arial" w:cs="Arial"/>
        </w:rPr>
        <w:t>€ -34 millones relacionados con la transformación de estructuras aeroespaciales, de los cuales € -25 millones correspondieron a Q2.</w:t>
      </w:r>
    </w:p>
    <w:p w14:paraId="684527C1" w14:textId="7C0C676B" w:rsidR="00151180" w:rsidRPr="002A714F" w:rsidRDefault="00151180" w:rsidP="00151180">
      <w:pPr>
        <w:pStyle w:val="Prrafodelista"/>
        <w:numPr>
          <w:ilvl w:val="0"/>
          <w:numId w:val="5"/>
        </w:numPr>
        <w:jc w:val="both"/>
        <w:rPr>
          <w:rFonts w:ascii="Arial" w:hAnsi="Arial" w:cs="Arial"/>
        </w:rPr>
      </w:pPr>
      <w:r w:rsidRPr="002A714F">
        <w:rPr>
          <w:rFonts w:ascii="Arial" w:hAnsi="Arial" w:cs="Arial"/>
        </w:rPr>
        <w:t>€ -46 millones en otros costos, incluidos los relacionados con el cumplimiento, de los cuales € -32 millones correspondieron a Q2.</w:t>
      </w:r>
    </w:p>
    <w:p w14:paraId="340B5749" w14:textId="1C434F45" w:rsidR="00151180" w:rsidRPr="002A714F" w:rsidRDefault="00151180" w:rsidP="00151180">
      <w:pPr>
        <w:jc w:val="both"/>
        <w:rPr>
          <w:rFonts w:ascii="Arial" w:hAnsi="Arial" w:cs="Arial"/>
        </w:rPr>
      </w:pPr>
      <w:r w:rsidRPr="002A714F">
        <w:rPr>
          <w:rFonts w:ascii="Arial" w:hAnsi="Arial" w:cs="Arial"/>
        </w:rPr>
        <w:t xml:space="preserve">El resultado financiero fue de € 102 millones (H1 2022: € 107 millones). Esto refleja principalmente el impacto positivo de la revaluación de ciertas inversiones de capital, parcialmente compensado por el resultado neto de intereses y los impactos negativos de la revaluación de instrumentos financieros. El </w:t>
      </w:r>
      <w:r w:rsidRPr="00636057">
        <w:rPr>
          <w:rFonts w:ascii="Arial" w:hAnsi="Arial" w:cs="Arial"/>
          <w:b/>
          <w:bCs/>
        </w:rPr>
        <w:t>ingreso neto consolidado</w:t>
      </w:r>
      <w:r w:rsidRPr="002A714F">
        <w:rPr>
          <w:rFonts w:ascii="Arial" w:hAnsi="Arial" w:cs="Arial"/>
        </w:rPr>
        <w:t xml:space="preserve"> fue de € 1,526 millones (H1 2022: € 1,901 millones) con un informe consolidado de </w:t>
      </w:r>
      <w:r w:rsidRPr="00636057">
        <w:rPr>
          <w:rFonts w:ascii="Arial" w:hAnsi="Arial" w:cs="Arial"/>
          <w:b/>
          <w:bCs/>
        </w:rPr>
        <w:t>ganancias por acción</w:t>
      </w:r>
      <w:r w:rsidRPr="002A714F">
        <w:rPr>
          <w:rFonts w:ascii="Arial" w:hAnsi="Arial" w:cs="Arial"/>
        </w:rPr>
        <w:t xml:space="preserve"> de € 1.94 (H1 2022: € 2.42).</w:t>
      </w:r>
    </w:p>
    <w:p w14:paraId="1D340ABF" w14:textId="02E879FF" w:rsidR="00151180" w:rsidRPr="002A714F" w:rsidRDefault="00151180" w:rsidP="00151180">
      <w:pPr>
        <w:jc w:val="both"/>
        <w:rPr>
          <w:rFonts w:ascii="Arial" w:hAnsi="Arial" w:cs="Arial"/>
        </w:rPr>
      </w:pPr>
      <w:r w:rsidRPr="002A714F">
        <w:rPr>
          <w:rFonts w:ascii="Arial" w:hAnsi="Arial" w:cs="Arial"/>
        </w:rPr>
        <w:t xml:space="preserve">El </w:t>
      </w:r>
      <w:r w:rsidRPr="00636057">
        <w:rPr>
          <w:rFonts w:ascii="Arial" w:hAnsi="Arial" w:cs="Arial"/>
          <w:b/>
          <w:bCs/>
        </w:rPr>
        <w:t>flujo de efectivo libre consolidado antes de fusiones y adquisiciones</w:t>
      </w:r>
      <w:r w:rsidRPr="002A714F">
        <w:rPr>
          <w:rFonts w:ascii="Arial" w:hAnsi="Arial" w:cs="Arial"/>
        </w:rPr>
        <w:t xml:space="preserve"> y financiamiento al cliente fue de € 1,574 millones (H1 2022: € 1,955 millones), reflejando el progreso en las entregas, así como un aumento en el inventario relacionado con el continuo aumento de los programas. También incluye una sincronización favorable de ingresos y pagos.</w:t>
      </w:r>
    </w:p>
    <w:p w14:paraId="708D0605" w14:textId="77777777" w:rsidR="00151180" w:rsidRPr="002A714F" w:rsidRDefault="00151180" w:rsidP="00151180">
      <w:pPr>
        <w:jc w:val="both"/>
        <w:rPr>
          <w:rFonts w:ascii="Arial" w:hAnsi="Arial" w:cs="Arial"/>
        </w:rPr>
      </w:pPr>
      <w:r w:rsidRPr="002A714F">
        <w:rPr>
          <w:rFonts w:ascii="Arial" w:hAnsi="Arial" w:cs="Arial"/>
        </w:rPr>
        <w:t xml:space="preserve">El </w:t>
      </w:r>
      <w:r w:rsidRPr="00636057">
        <w:rPr>
          <w:rFonts w:ascii="Arial" w:hAnsi="Arial" w:cs="Arial"/>
          <w:b/>
          <w:bCs/>
        </w:rPr>
        <w:t>flujo de efectivo libre</w:t>
      </w:r>
      <w:r w:rsidRPr="002A714F">
        <w:rPr>
          <w:rFonts w:ascii="Arial" w:hAnsi="Arial" w:cs="Arial"/>
        </w:rPr>
        <w:t xml:space="preserve"> consolidado fue de € 1,474 millones (H1 2022: € 1,646 millones). La </w:t>
      </w:r>
      <w:r w:rsidRPr="00636057">
        <w:rPr>
          <w:rFonts w:ascii="Arial" w:hAnsi="Arial" w:cs="Arial"/>
          <w:b/>
          <w:bCs/>
        </w:rPr>
        <w:t>posición bruta de efectivo</w:t>
      </w:r>
      <w:r w:rsidRPr="002A714F">
        <w:rPr>
          <w:rFonts w:ascii="Arial" w:hAnsi="Arial" w:cs="Arial"/>
        </w:rPr>
        <w:t xml:space="preserve"> se situó en € 22.9 mil millones al final de junio de 2023 (año 2022: € 23.6 mil millones), con una </w:t>
      </w:r>
      <w:r w:rsidRPr="00636057">
        <w:rPr>
          <w:rFonts w:ascii="Arial" w:hAnsi="Arial" w:cs="Arial"/>
          <w:b/>
          <w:bCs/>
        </w:rPr>
        <w:t>posición neta consolidada de efectivo</w:t>
      </w:r>
      <w:r w:rsidRPr="002A714F">
        <w:rPr>
          <w:rFonts w:ascii="Arial" w:hAnsi="Arial" w:cs="Arial"/>
        </w:rPr>
        <w:t xml:space="preserve"> de € 9.1 mil millones (año 2022: € 9.4 mil millones).</w:t>
      </w:r>
    </w:p>
    <w:p w14:paraId="6D2CD657" w14:textId="77777777" w:rsidR="00151180" w:rsidRPr="002A714F" w:rsidRDefault="00151180" w:rsidP="00151180">
      <w:pPr>
        <w:jc w:val="both"/>
        <w:rPr>
          <w:rFonts w:ascii="Arial" w:hAnsi="Arial" w:cs="Arial"/>
        </w:rPr>
      </w:pPr>
    </w:p>
    <w:p w14:paraId="49A84A4C" w14:textId="64B6C61E" w:rsidR="00151180" w:rsidRPr="002A714F" w:rsidRDefault="00151180" w:rsidP="00151180">
      <w:pPr>
        <w:jc w:val="both"/>
        <w:rPr>
          <w:rFonts w:ascii="Arial" w:hAnsi="Arial" w:cs="Arial"/>
          <w:b/>
          <w:bCs/>
        </w:rPr>
      </w:pPr>
      <w:r w:rsidRPr="002A714F">
        <w:rPr>
          <w:rFonts w:ascii="Arial" w:hAnsi="Arial" w:cs="Arial"/>
          <w:b/>
          <w:bCs/>
        </w:rPr>
        <w:t>P</w:t>
      </w:r>
      <w:r w:rsidR="00636057">
        <w:rPr>
          <w:rFonts w:ascii="Arial" w:hAnsi="Arial" w:cs="Arial"/>
          <w:b/>
          <w:bCs/>
        </w:rPr>
        <w:t>erspectivas</w:t>
      </w:r>
    </w:p>
    <w:p w14:paraId="53F26524" w14:textId="3CF723E6" w:rsidR="00151180" w:rsidRPr="002A714F" w:rsidRDefault="00151180" w:rsidP="00151180">
      <w:pPr>
        <w:jc w:val="both"/>
        <w:rPr>
          <w:rFonts w:ascii="Arial" w:hAnsi="Arial" w:cs="Arial"/>
        </w:rPr>
      </w:pPr>
      <w:r w:rsidRPr="002A714F">
        <w:rPr>
          <w:rFonts w:ascii="Arial" w:hAnsi="Arial" w:cs="Arial"/>
        </w:rPr>
        <w:t>Se mantiene la guía emitida en febrero de 2023.</w:t>
      </w:r>
    </w:p>
    <w:p w14:paraId="5FE99067" w14:textId="29633F20" w:rsidR="00151180" w:rsidRPr="002A714F" w:rsidRDefault="00151180" w:rsidP="00151180">
      <w:pPr>
        <w:jc w:val="both"/>
        <w:rPr>
          <w:rFonts w:ascii="Arial" w:hAnsi="Arial" w:cs="Arial"/>
        </w:rPr>
      </w:pPr>
      <w:r w:rsidRPr="002A714F">
        <w:rPr>
          <w:rFonts w:ascii="Arial" w:hAnsi="Arial" w:cs="Arial"/>
        </w:rPr>
        <w:t>Como base para su guía de 2023, la Compañía asume que no habrá interrupciones adicionales en la economía mundial, el tráfico aéreo, la cadena de suministro, las operaciones internas de la Compañía y su capacidad para entregar productos y servicios.</w:t>
      </w:r>
    </w:p>
    <w:p w14:paraId="56BCB570" w14:textId="5F7970A3" w:rsidR="00151180" w:rsidRPr="002A714F" w:rsidRDefault="00151180" w:rsidP="00151180">
      <w:pPr>
        <w:jc w:val="both"/>
        <w:rPr>
          <w:rFonts w:ascii="Arial" w:hAnsi="Arial" w:cs="Arial"/>
        </w:rPr>
      </w:pPr>
      <w:r w:rsidRPr="002A714F">
        <w:rPr>
          <w:rFonts w:ascii="Arial" w:hAnsi="Arial" w:cs="Arial"/>
        </w:rPr>
        <w:t>La guía de la Compañía para 2023 excluye las fusiones y adquisiciones.</w:t>
      </w:r>
    </w:p>
    <w:p w14:paraId="208971C4" w14:textId="77777777" w:rsidR="00151180" w:rsidRPr="002A714F" w:rsidRDefault="00151180" w:rsidP="00151180">
      <w:pPr>
        <w:jc w:val="both"/>
        <w:rPr>
          <w:rFonts w:ascii="Arial" w:hAnsi="Arial" w:cs="Arial"/>
        </w:rPr>
      </w:pPr>
      <w:r w:rsidRPr="002A714F">
        <w:rPr>
          <w:rFonts w:ascii="Arial" w:hAnsi="Arial" w:cs="Arial"/>
        </w:rPr>
        <w:t>En base a esto, la Compañía tiene como objetivo lograr aproximadamente en 2023:</w:t>
      </w:r>
    </w:p>
    <w:p w14:paraId="53DE2B24" w14:textId="12E2DEAE" w:rsidR="00151180" w:rsidRPr="002A714F" w:rsidRDefault="00151180" w:rsidP="00151180">
      <w:pPr>
        <w:pStyle w:val="Prrafodelista"/>
        <w:numPr>
          <w:ilvl w:val="0"/>
          <w:numId w:val="5"/>
        </w:numPr>
        <w:jc w:val="both"/>
        <w:rPr>
          <w:rFonts w:ascii="Arial" w:hAnsi="Arial" w:cs="Arial"/>
        </w:rPr>
      </w:pPr>
      <w:r w:rsidRPr="002A714F">
        <w:rPr>
          <w:rFonts w:ascii="Arial" w:hAnsi="Arial" w:cs="Arial"/>
        </w:rPr>
        <w:t>720 entregas de aviones comerciales;</w:t>
      </w:r>
    </w:p>
    <w:p w14:paraId="0D29F419" w14:textId="323667C3" w:rsidR="00151180" w:rsidRPr="002A714F" w:rsidRDefault="00151180" w:rsidP="00151180">
      <w:pPr>
        <w:pStyle w:val="Prrafodelista"/>
        <w:numPr>
          <w:ilvl w:val="0"/>
          <w:numId w:val="5"/>
        </w:numPr>
        <w:jc w:val="both"/>
        <w:rPr>
          <w:rFonts w:ascii="Arial" w:hAnsi="Arial" w:cs="Arial"/>
        </w:rPr>
      </w:pPr>
      <w:r w:rsidRPr="002A714F">
        <w:rPr>
          <w:rFonts w:ascii="Arial" w:hAnsi="Arial" w:cs="Arial"/>
        </w:rPr>
        <w:t>EBIT Ajustado de € 6.0 mil millones;</w:t>
      </w:r>
    </w:p>
    <w:p w14:paraId="4F100E14" w14:textId="52E8B1A4" w:rsidR="000D769F" w:rsidRPr="002A714F" w:rsidRDefault="00151180" w:rsidP="000D769F">
      <w:pPr>
        <w:pStyle w:val="Prrafodelista"/>
        <w:numPr>
          <w:ilvl w:val="0"/>
          <w:numId w:val="5"/>
        </w:numPr>
        <w:jc w:val="both"/>
        <w:rPr>
          <w:rFonts w:ascii="Arial" w:hAnsi="Arial" w:cs="Arial"/>
        </w:rPr>
      </w:pPr>
      <w:r w:rsidRPr="002A714F">
        <w:rPr>
          <w:rFonts w:ascii="Arial" w:hAnsi="Arial" w:cs="Arial"/>
        </w:rPr>
        <w:t>Flujo de efectivo libre antes de fusiones y adquisiciones y financiamiento al cliente de € 3.0 mil millones.</w:t>
      </w:r>
    </w:p>
    <w:p w14:paraId="78184E7B" w14:textId="77777777" w:rsidR="000D769F" w:rsidRPr="002A714F" w:rsidRDefault="000D769F" w:rsidP="000D769F">
      <w:pPr>
        <w:pStyle w:val="Prrafodelista"/>
        <w:jc w:val="both"/>
        <w:rPr>
          <w:rFonts w:ascii="Arial" w:hAnsi="Arial" w:cs="Arial"/>
        </w:rPr>
      </w:pPr>
    </w:p>
    <w:p w14:paraId="297B362C" w14:textId="2DFE5C82" w:rsidR="000D769F" w:rsidRPr="00636057" w:rsidRDefault="000D769F" w:rsidP="000D769F">
      <w:pPr>
        <w:jc w:val="both"/>
        <w:rPr>
          <w:rFonts w:ascii="Arial" w:hAnsi="Arial" w:cs="Arial"/>
          <w:b/>
          <w:bCs/>
        </w:rPr>
      </w:pPr>
      <w:r w:rsidRPr="00636057">
        <w:rPr>
          <w:rFonts w:ascii="Arial" w:hAnsi="Arial" w:cs="Arial"/>
          <w:b/>
          <w:bCs/>
        </w:rPr>
        <w:t>Airbus consolidado: resultados del primer semestre de 2023</w:t>
      </w:r>
    </w:p>
    <w:p w14:paraId="532CD697" w14:textId="2394CA52" w:rsidR="000D769F" w:rsidRPr="000D769F" w:rsidRDefault="000D769F" w:rsidP="000D769F">
      <w:pPr>
        <w:jc w:val="both"/>
        <w:rPr>
          <w:rFonts w:ascii="Arial" w:hAnsi="Arial" w:cs="Arial"/>
        </w:rPr>
      </w:pPr>
      <w:r w:rsidRPr="000D769F">
        <w:rPr>
          <w:rFonts w:ascii="Arial" w:hAnsi="Arial" w:cs="Arial"/>
        </w:rPr>
        <w:t>(</w:t>
      </w:r>
      <w:r w:rsidR="007C0D4A">
        <w:rPr>
          <w:rFonts w:ascii="Arial" w:hAnsi="Arial" w:cs="Arial"/>
        </w:rPr>
        <w:t xml:space="preserve">Montos </w:t>
      </w:r>
      <w:r w:rsidRPr="002A714F">
        <w:rPr>
          <w:rFonts w:ascii="Arial" w:hAnsi="Arial" w:cs="Arial"/>
        </w:rPr>
        <w:t>e</w:t>
      </w:r>
      <w:r w:rsidRPr="000D769F">
        <w:rPr>
          <w:rFonts w:ascii="Arial" w:hAnsi="Arial" w:cs="Arial"/>
        </w:rPr>
        <w:t>n Euro</w:t>
      </w:r>
      <w:r w:rsidR="007C0D4A">
        <w:rPr>
          <w:rFonts w:ascii="Arial" w:hAnsi="Arial" w:cs="Arial"/>
        </w:rPr>
        <w:t>s</w:t>
      </w:r>
      <w:r w:rsidRPr="000D769F">
        <w:rPr>
          <w:rFonts w:ascii="Arial" w:hAnsi="Arial" w:cs="Arial"/>
        </w:rPr>
        <w:t>)</w:t>
      </w:r>
    </w:p>
    <w:tbl>
      <w:tblPr>
        <w:tblW w:w="0" w:type="dxa"/>
        <w:tblCellMar>
          <w:left w:w="0" w:type="dxa"/>
          <w:right w:w="0" w:type="dxa"/>
        </w:tblCellMar>
        <w:tblLook w:val="04A0" w:firstRow="1" w:lastRow="0" w:firstColumn="1" w:lastColumn="0" w:noHBand="0" w:noVBand="1"/>
      </w:tblPr>
      <w:tblGrid>
        <w:gridCol w:w="3802"/>
        <w:gridCol w:w="1680"/>
        <w:gridCol w:w="1666"/>
        <w:gridCol w:w="1670"/>
      </w:tblGrid>
      <w:tr w:rsidR="000D769F" w:rsidRPr="002A714F" w14:paraId="05E14A2B" w14:textId="77777777" w:rsidTr="000D769F">
        <w:tc>
          <w:tcPr>
            <w:tcW w:w="3915" w:type="dxa"/>
            <w:tcBorders>
              <w:top w:val="single" w:sz="8" w:space="0" w:color="000000"/>
              <w:left w:val="single" w:sz="8" w:space="0" w:color="000000"/>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7A3130D3" w14:textId="3A44E678" w:rsidR="000D769F" w:rsidRPr="000D769F" w:rsidRDefault="000D769F" w:rsidP="00636057">
            <w:pPr>
              <w:rPr>
                <w:rFonts w:ascii="Arial" w:hAnsi="Arial" w:cs="Arial"/>
              </w:rPr>
            </w:pPr>
            <w:r w:rsidRPr="000D769F">
              <w:rPr>
                <w:rFonts w:ascii="Arial" w:hAnsi="Arial" w:cs="Arial"/>
                <w:b/>
                <w:bCs/>
              </w:rPr>
              <w:lastRenderedPageBreak/>
              <w:t>Airbus</w:t>
            </w:r>
            <w:r w:rsidRPr="002A714F">
              <w:rPr>
                <w:rFonts w:ascii="Arial" w:hAnsi="Arial" w:cs="Arial"/>
                <w:b/>
                <w:bCs/>
              </w:rPr>
              <w:t xml:space="preserve"> Consolidado</w:t>
            </w:r>
          </w:p>
        </w:tc>
        <w:tc>
          <w:tcPr>
            <w:tcW w:w="1725" w:type="dxa"/>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4C2B03EA" w14:textId="77777777" w:rsidR="000D769F" w:rsidRPr="000D769F" w:rsidRDefault="000D769F" w:rsidP="000D769F">
            <w:pPr>
              <w:jc w:val="both"/>
              <w:rPr>
                <w:rFonts w:ascii="Arial" w:hAnsi="Arial" w:cs="Arial"/>
              </w:rPr>
            </w:pPr>
            <w:r w:rsidRPr="000D769F">
              <w:rPr>
                <w:rFonts w:ascii="Arial" w:hAnsi="Arial" w:cs="Arial"/>
                <w:b/>
                <w:bCs/>
              </w:rPr>
              <w:t>H1 2023</w:t>
            </w:r>
          </w:p>
        </w:tc>
        <w:tc>
          <w:tcPr>
            <w:tcW w:w="1710" w:type="dxa"/>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29420C30" w14:textId="77777777" w:rsidR="000D769F" w:rsidRPr="000D769F" w:rsidRDefault="000D769F" w:rsidP="000D769F">
            <w:pPr>
              <w:jc w:val="both"/>
              <w:rPr>
                <w:rFonts w:ascii="Arial" w:hAnsi="Arial" w:cs="Arial"/>
              </w:rPr>
            </w:pPr>
            <w:r w:rsidRPr="000D769F">
              <w:rPr>
                <w:rFonts w:ascii="Arial" w:hAnsi="Arial" w:cs="Arial"/>
              </w:rPr>
              <w:t>H1 2022</w:t>
            </w:r>
          </w:p>
        </w:tc>
        <w:tc>
          <w:tcPr>
            <w:tcW w:w="1710" w:type="dxa"/>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65DA61A8" w14:textId="5479FDD7" w:rsidR="000D769F" w:rsidRPr="000D769F" w:rsidRDefault="000D769F" w:rsidP="000D769F">
            <w:pPr>
              <w:jc w:val="both"/>
              <w:rPr>
                <w:rFonts w:ascii="Arial" w:hAnsi="Arial" w:cs="Arial"/>
              </w:rPr>
            </w:pPr>
            <w:r w:rsidRPr="000D769F">
              <w:rPr>
                <w:rFonts w:ascii="Arial" w:hAnsi="Arial" w:cs="Arial"/>
              </w:rPr>
              <w:t>C</w:t>
            </w:r>
            <w:r w:rsidRPr="002A714F">
              <w:rPr>
                <w:rFonts w:ascii="Arial" w:hAnsi="Arial" w:cs="Arial"/>
              </w:rPr>
              <w:t>ambio</w:t>
            </w:r>
          </w:p>
        </w:tc>
      </w:tr>
      <w:tr w:rsidR="000D769F" w:rsidRPr="002A714F" w14:paraId="3EDF8298"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2EE708D2" w14:textId="38ADD4E9" w:rsidR="000D769F" w:rsidRPr="000D769F" w:rsidRDefault="000D769F" w:rsidP="00636057">
            <w:pPr>
              <w:rPr>
                <w:rFonts w:ascii="Arial" w:hAnsi="Arial" w:cs="Arial"/>
                <w:b/>
                <w:bCs/>
              </w:rPr>
            </w:pPr>
            <w:r w:rsidRPr="00636057">
              <w:rPr>
                <w:rFonts w:ascii="Arial" w:hAnsi="Arial" w:cs="Arial"/>
                <w:b/>
                <w:bCs/>
              </w:rPr>
              <w:t xml:space="preserve">Ingresos, </w:t>
            </w:r>
            <w:r w:rsidRPr="00636057">
              <w:rPr>
                <w:rFonts w:ascii="Arial" w:hAnsi="Arial" w:cs="Arial"/>
              </w:rPr>
              <w:t>en millones de los cuales defensa, en millones</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704A38C7" w14:textId="77777777" w:rsidR="000D769F" w:rsidRPr="000D769F" w:rsidRDefault="000D769F" w:rsidP="000D769F">
            <w:pPr>
              <w:jc w:val="both"/>
              <w:rPr>
                <w:rFonts w:ascii="Arial" w:hAnsi="Arial" w:cs="Arial"/>
              </w:rPr>
            </w:pPr>
            <w:r w:rsidRPr="000D769F">
              <w:rPr>
                <w:rFonts w:ascii="Arial" w:hAnsi="Arial" w:cs="Arial"/>
                <w:b/>
                <w:bCs/>
              </w:rPr>
              <w:t>27,663</w:t>
            </w:r>
            <w:r w:rsidRPr="000D769F">
              <w:rPr>
                <w:rFonts w:ascii="Arial" w:hAnsi="Arial" w:cs="Arial"/>
              </w:rPr>
              <w:br/>
            </w:r>
            <w:r w:rsidRPr="000D769F">
              <w:rPr>
                <w:rFonts w:ascii="Arial" w:hAnsi="Arial" w:cs="Arial"/>
                <w:b/>
                <w:bCs/>
              </w:rPr>
              <w:t>4,772</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6A7117FC" w14:textId="77777777" w:rsidR="000D769F" w:rsidRPr="000D769F" w:rsidRDefault="000D769F" w:rsidP="000D769F">
            <w:pPr>
              <w:jc w:val="both"/>
              <w:rPr>
                <w:rFonts w:ascii="Arial" w:hAnsi="Arial" w:cs="Arial"/>
              </w:rPr>
            </w:pPr>
            <w:r w:rsidRPr="000D769F">
              <w:rPr>
                <w:rFonts w:ascii="Arial" w:hAnsi="Arial" w:cs="Arial"/>
              </w:rPr>
              <w:t>24,810</w:t>
            </w:r>
            <w:r w:rsidRPr="000D769F">
              <w:rPr>
                <w:rFonts w:ascii="Arial" w:hAnsi="Arial" w:cs="Arial"/>
              </w:rPr>
              <w:br/>
              <w:t>4,922</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0FB21BC1" w14:textId="77777777" w:rsidR="000D769F" w:rsidRPr="000D769F" w:rsidRDefault="000D769F" w:rsidP="000D769F">
            <w:pPr>
              <w:jc w:val="both"/>
              <w:rPr>
                <w:rFonts w:ascii="Arial" w:hAnsi="Arial" w:cs="Arial"/>
              </w:rPr>
            </w:pPr>
            <w:r w:rsidRPr="000D769F">
              <w:rPr>
                <w:rFonts w:ascii="Arial" w:hAnsi="Arial" w:cs="Arial"/>
              </w:rPr>
              <w:t>+11%</w:t>
            </w:r>
            <w:r w:rsidRPr="000D769F">
              <w:rPr>
                <w:rFonts w:ascii="Arial" w:hAnsi="Arial" w:cs="Arial"/>
              </w:rPr>
              <w:br/>
              <w:t> -3%</w:t>
            </w:r>
          </w:p>
        </w:tc>
      </w:tr>
      <w:tr w:rsidR="000D769F" w:rsidRPr="002A714F" w14:paraId="2BB602D2"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1FA1E600" w14:textId="68CB50CC" w:rsidR="000D769F" w:rsidRPr="000D769F" w:rsidRDefault="000D769F" w:rsidP="00636057">
            <w:pPr>
              <w:rPr>
                <w:rFonts w:ascii="Arial" w:hAnsi="Arial" w:cs="Arial"/>
              </w:rPr>
            </w:pPr>
            <w:r w:rsidRPr="000D769F">
              <w:rPr>
                <w:rFonts w:ascii="Arial" w:hAnsi="Arial" w:cs="Arial"/>
                <w:b/>
                <w:bCs/>
              </w:rPr>
              <w:t>EBIT A</w:t>
            </w:r>
            <w:r w:rsidRPr="002A714F">
              <w:rPr>
                <w:rFonts w:ascii="Arial" w:hAnsi="Arial" w:cs="Arial"/>
                <w:b/>
                <w:bCs/>
              </w:rPr>
              <w:t xml:space="preserve">justado, </w:t>
            </w:r>
            <w:r w:rsidRPr="002A714F">
              <w:rPr>
                <w:rFonts w:ascii="Arial" w:hAnsi="Arial" w:cs="Arial"/>
              </w:rPr>
              <w:t>en millones</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21014D3E" w14:textId="77777777" w:rsidR="000D769F" w:rsidRPr="000D769F" w:rsidRDefault="000D769F" w:rsidP="000D769F">
            <w:pPr>
              <w:jc w:val="both"/>
              <w:rPr>
                <w:rFonts w:ascii="Arial" w:hAnsi="Arial" w:cs="Arial"/>
              </w:rPr>
            </w:pPr>
            <w:r w:rsidRPr="000D769F">
              <w:rPr>
                <w:rFonts w:ascii="Arial" w:hAnsi="Arial" w:cs="Arial"/>
                <w:b/>
                <w:bCs/>
              </w:rPr>
              <w:t>2,618</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49FD02B0" w14:textId="77777777" w:rsidR="000D769F" w:rsidRPr="000D769F" w:rsidRDefault="000D769F" w:rsidP="000D769F">
            <w:pPr>
              <w:jc w:val="both"/>
              <w:rPr>
                <w:rFonts w:ascii="Arial" w:hAnsi="Arial" w:cs="Arial"/>
              </w:rPr>
            </w:pPr>
            <w:r w:rsidRPr="000D769F">
              <w:rPr>
                <w:rFonts w:ascii="Arial" w:hAnsi="Arial" w:cs="Arial"/>
              </w:rPr>
              <w:t>2,645</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0A5CF880" w14:textId="77777777" w:rsidR="000D769F" w:rsidRPr="000D769F" w:rsidRDefault="000D769F" w:rsidP="000D769F">
            <w:pPr>
              <w:jc w:val="both"/>
              <w:rPr>
                <w:rFonts w:ascii="Arial" w:hAnsi="Arial" w:cs="Arial"/>
              </w:rPr>
            </w:pPr>
            <w:r w:rsidRPr="000D769F">
              <w:rPr>
                <w:rFonts w:ascii="Arial" w:hAnsi="Arial" w:cs="Arial"/>
              </w:rPr>
              <w:t>-1%</w:t>
            </w:r>
          </w:p>
        </w:tc>
      </w:tr>
      <w:tr w:rsidR="000D769F" w:rsidRPr="002A714F" w14:paraId="3B2E9CA0"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0096EE3C" w14:textId="413FFB26" w:rsidR="000D769F" w:rsidRPr="000D769F" w:rsidRDefault="000D769F" w:rsidP="00636057">
            <w:pPr>
              <w:rPr>
                <w:rFonts w:ascii="Arial" w:hAnsi="Arial" w:cs="Arial"/>
              </w:rPr>
            </w:pPr>
            <w:r w:rsidRPr="000D769F">
              <w:rPr>
                <w:rFonts w:ascii="Arial" w:hAnsi="Arial" w:cs="Arial"/>
                <w:b/>
                <w:bCs/>
              </w:rPr>
              <w:t>EBIT (report</w:t>
            </w:r>
            <w:r w:rsidRPr="002A714F">
              <w:rPr>
                <w:rFonts w:ascii="Arial" w:hAnsi="Arial" w:cs="Arial"/>
                <w:b/>
                <w:bCs/>
              </w:rPr>
              <w:t>ado</w:t>
            </w:r>
            <w:r w:rsidRPr="000D769F">
              <w:rPr>
                <w:rFonts w:ascii="Arial" w:hAnsi="Arial" w:cs="Arial"/>
                <w:b/>
                <w:bCs/>
              </w:rPr>
              <w:t>)</w:t>
            </w:r>
            <w:r w:rsidRPr="000D769F">
              <w:rPr>
                <w:rFonts w:ascii="Arial" w:hAnsi="Arial" w:cs="Arial"/>
              </w:rPr>
              <w:t xml:space="preserve">, </w:t>
            </w:r>
            <w:r w:rsidRPr="002A714F">
              <w:rPr>
                <w:rFonts w:ascii="Arial" w:hAnsi="Arial" w:cs="Arial"/>
              </w:rPr>
              <w:t>en millones</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93E3343" w14:textId="77777777" w:rsidR="000D769F" w:rsidRPr="000D769F" w:rsidRDefault="000D769F" w:rsidP="000D769F">
            <w:pPr>
              <w:jc w:val="both"/>
              <w:rPr>
                <w:rFonts w:ascii="Arial" w:hAnsi="Arial" w:cs="Arial"/>
              </w:rPr>
            </w:pPr>
            <w:r w:rsidRPr="000D769F">
              <w:rPr>
                <w:rFonts w:ascii="Arial" w:hAnsi="Arial" w:cs="Arial"/>
                <w:b/>
                <w:bCs/>
              </w:rPr>
              <w:t>1,887</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2241656A" w14:textId="77777777" w:rsidR="000D769F" w:rsidRPr="000D769F" w:rsidRDefault="000D769F" w:rsidP="000D769F">
            <w:pPr>
              <w:jc w:val="both"/>
              <w:rPr>
                <w:rFonts w:ascii="Arial" w:hAnsi="Arial" w:cs="Arial"/>
              </w:rPr>
            </w:pPr>
            <w:r w:rsidRPr="000D769F">
              <w:rPr>
                <w:rFonts w:ascii="Arial" w:hAnsi="Arial" w:cs="Arial"/>
              </w:rPr>
              <w:t>2,579</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41DC4ACE" w14:textId="77777777" w:rsidR="000D769F" w:rsidRPr="000D769F" w:rsidRDefault="000D769F" w:rsidP="000D769F">
            <w:pPr>
              <w:jc w:val="both"/>
              <w:rPr>
                <w:rFonts w:ascii="Arial" w:hAnsi="Arial" w:cs="Arial"/>
              </w:rPr>
            </w:pPr>
            <w:r w:rsidRPr="000D769F">
              <w:rPr>
                <w:rFonts w:ascii="Arial" w:hAnsi="Arial" w:cs="Arial"/>
              </w:rPr>
              <w:t>-27%</w:t>
            </w:r>
          </w:p>
        </w:tc>
      </w:tr>
      <w:tr w:rsidR="000D769F" w:rsidRPr="002A714F" w14:paraId="4A10FEBB"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063B6D29" w14:textId="21E673FF" w:rsidR="000D769F" w:rsidRPr="000D769F" w:rsidRDefault="000D769F" w:rsidP="00636057">
            <w:pPr>
              <w:rPr>
                <w:rFonts w:ascii="Arial" w:hAnsi="Arial" w:cs="Arial"/>
              </w:rPr>
            </w:pPr>
            <w:r w:rsidRPr="002A714F">
              <w:rPr>
                <w:rFonts w:ascii="Arial" w:hAnsi="Arial" w:cs="Arial"/>
                <w:b/>
                <w:bCs/>
              </w:rPr>
              <w:t xml:space="preserve">Gastos de Investigación y Desarrollo, </w:t>
            </w:r>
            <w:r w:rsidRPr="002A714F">
              <w:rPr>
                <w:rFonts w:ascii="Arial" w:hAnsi="Arial" w:cs="Arial"/>
              </w:rPr>
              <w:t>en millones</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0D778DD" w14:textId="77777777" w:rsidR="000D769F" w:rsidRPr="000D769F" w:rsidRDefault="000D769F" w:rsidP="000D769F">
            <w:pPr>
              <w:jc w:val="both"/>
              <w:rPr>
                <w:rFonts w:ascii="Arial" w:hAnsi="Arial" w:cs="Arial"/>
              </w:rPr>
            </w:pPr>
            <w:r w:rsidRPr="000D769F">
              <w:rPr>
                <w:rFonts w:ascii="Arial" w:hAnsi="Arial" w:cs="Arial"/>
                <w:b/>
                <w:bCs/>
              </w:rPr>
              <w:t>1,431</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55448E40" w14:textId="77777777" w:rsidR="000D769F" w:rsidRPr="000D769F" w:rsidRDefault="000D769F" w:rsidP="000D769F">
            <w:pPr>
              <w:jc w:val="both"/>
              <w:rPr>
                <w:rFonts w:ascii="Arial" w:hAnsi="Arial" w:cs="Arial"/>
              </w:rPr>
            </w:pPr>
            <w:r w:rsidRPr="000D769F">
              <w:rPr>
                <w:rFonts w:ascii="Arial" w:hAnsi="Arial" w:cs="Arial"/>
              </w:rPr>
              <w:t>1,256</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42121088" w14:textId="77777777" w:rsidR="000D769F" w:rsidRPr="000D769F" w:rsidRDefault="000D769F" w:rsidP="000D769F">
            <w:pPr>
              <w:jc w:val="both"/>
              <w:rPr>
                <w:rFonts w:ascii="Arial" w:hAnsi="Arial" w:cs="Arial"/>
              </w:rPr>
            </w:pPr>
            <w:r w:rsidRPr="000D769F">
              <w:rPr>
                <w:rFonts w:ascii="Arial" w:hAnsi="Arial" w:cs="Arial"/>
              </w:rPr>
              <w:t>+14%</w:t>
            </w:r>
          </w:p>
        </w:tc>
      </w:tr>
      <w:tr w:rsidR="000D769F" w:rsidRPr="002A714F" w14:paraId="5C81FCF4"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09093729" w14:textId="283D03C6" w:rsidR="000D769F" w:rsidRPr="000D769F" w:rsidRDefault="000D769F" w:rsidP="00636057">
            <w:pPr>
              <w:rPr>
                <w:rFonts w:ascii="Arial" w:hAnsi="Arial" w:cs="Arial"/>
              </w:rPr>
            </w:pPr>
            <w:r w:rsidRPr="002A714F">
              <w:rPr>
                <w:rFonts w:ascii="Arial" w:hAnsi="Arial" w:cs="Arial"/>
              </w:rPr>
              <w:t>Ingresos netos</w:t>
            </w:r>
            <w:r w:rsidR="00333CBC" w:rsidRPr="002A714F">
              <w:rPr>
                <w:rFonts w:ascii="Arial" w:hAnsi="Arial" w:cs="Arial"/>
              </w:rPr>
              <w:t xml:space="preserve"> </w:t>
            </w:r>
            <w:r w:rsidRPr="002A714F">
              <w:rPr>
                <w:rFonts w:ascii="Arial" w:hAnsi="Arial" w:cs="Arial"/>
                <w:vertAlign w:val="superscript"/>
              </w:rPr>
              <w:t>(3)</w:t>
            </w:r>
            <w:r w:rsidRPr="000D769F">
              <w:rPr>
                <w:rFonts w:ascii="Arial" w:hAnsi="Arial" w:cs="Arial"/>
              </w:rPr>
              <w:t xml:space="preserve">, </w:t>
            </w:r>
            <w:r w:rsidRPr="002A714F">
              <w:rPr>
                <w:rFonts w:ascii="Arial" w:hAnsi="Arial" w:cs="Arial"/>
              </w:rPr>
              <w:t>en millones</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4195D099" w14:textId="77777777" w:rsidR="000D769F" w:rsidRPr="000D769F" w:rsidRDefault="000D769F" w:rsidP="000D769F">
            <w:pPr>
              <w:jc w:val="both"/>
              <w:rPr>
                <w:rFonts w:ascii="Arial" w:hAnsi="Arial" w:cs="Arial"/>
              </w:rPr>
            </w:pPr>
            <w:r w:rsidRPr="000D769F">
              <w:rPr>
                <w:rFonts w:ascii="Arial" w:hAnsi="Arial" w:cs="Arial"/>
                <w:b/>
                <w:bCs/>
              </w:rPr>
              <w:t>1,526</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2B7059F8" w14:textId="77777777" w:rsidR="000D769F" w:rsidRPr="000D769F" w:rsidRDefault="000D769F" w:rsidP="000D769F">
            <w:pPr>
              <w:jc w:val="both"/>
              <w:rPr>
                <w:rFonts w:ascii="Arial" w:hAnsi="Arial" w:cs="Arial"/>
              </w:rPr>
            </w:pPr>
            <w:r w:rsidRPr="000D769F">
              <w:rPr>
                <w:rFonts w:ascii="Arial" w:hAnsi="Arial" w:cs="Arial"/>
              </w:rPr>
              <w:t>1,901</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10385783" w14:textId="77777777" w:rsidR="000D769F" w:rsidRPr="000D769F" w:rsidRDefault="000D769F" w:rsidP="000D769F">
            <w:pPr>
              <w:jc w:val="both"/>
              <w:rPr>
                <w:rFonts w:ascii="Arial" w:hAnsi="Arial" w:cs="Arial"/>
              </w:rPr>
            </w:pPr>
            <w:r w:rsidRPr="000D769F">
              <w:rPr>
                <w:rFonts w:ascii="Arial" w:hAnsi="Arial" w:cs="Arial"/>
              </w:rPr>
              <w:t>-20%</w:t>
            </w:r>
          </w:p>
        </w:tc>
      </w:tr>
      <w:tr w:rsidR="000D769F" w:rsidRPr="002A714F" w14:paraId="12ABFCD2"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01D1F79C" w14:textId="219CA5C4" w:rsidR="000D769F" w:rsidRPr="000D769F" w:rsidRDefault="00333CBC" w:rsidP="00636057">
            <w:pPr>
              <w:rPr>
                <w:rFonts w:ascii="Arial" w:hAnsi="Arial" w:cs="Arial"/>
              </w:rPr>
            </w:pPr>
            <w:r w:rsidRPr="002A714F">
              <w:rPr>
                <w:rFonts w:ascii="Arial" w:hAnsi="Arial" w:cs="Arial"/>
              </w:rPr>
              <w:t>Ganancias por acción</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6F14BC6A" w14:textId="77777777" w:rsidR="000D769F" w:rsidRPr="000D769F" w:rsidRDefault="000D769F" w:rsidP="000D769F">
            <w:pPr>
              <w:jc w:val="both"/>
              <w:rPr>
                <w:rFonts w:ascii="Arial" w:hAnsi="Arial" w:cs="Arial"/>
              </w:rPr>
            </w:pPr>
            <w:r w:rsidRPr="000D769F">
              <w:rPr>
                <w:rFonts w:ascii="Arial" w:hAnsi="Arial" w:cs="Arial"/>
                <w:b/>
                <w:bCs/>
              </w:rPr>
              <w:t>1.94</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098D16D0" w14:textId="77777777" w:rsidR="000D769F" w:rsidRPr="000D769F" w:rsidRDefault="000D769F" w:rsidP="000D769F">
            <w:pPr>
              <w:jc w:val="both"/>
              <w:rPr>
                <w:rFonts w:ascii="Arial" w:hAnsi="Arial" w:cs="Arial"/>
              </w:rPr>
            </w:pPr>
            <w:r w:rsidRPr="000D769F">
              <w:rPr>
                <w:rFonts w:ascii="Arial" w:hAnsi="Arial" w:cs="Arial"/>
              </w:rPr>
              <w:t>2.42</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04B0EE20" w14:textId="77777777" w:rsidR="000D769F" w:rsidRPr="000D769F" w:rsidRDefault="000D769F" w:rsidP="000D769F">
            <w:pPr>
              <w:jc w:val="both"/>
              <w:rPr>
                <w:rFonts w:ascii="Arial" w:hAnsi="Arial" w:cs="Arial"/>
              </w:rPr>
            </w:pPr>
            <w:r w:rsidRPr="000D769F">
              <w:rPr>
                <w:rFonts w:ascii="Arial" w:hAnsi="Arial" w:cs="Arial"/>
              </w:rPr>
              <w:t>-20%</w:t>
            </w:r>
          </w:p>
        </w:tc>
      </w:tr>
      <w:tr w:rsidR="000D769F" w:rsidRPr="002A714F" w14:paraId="415DE170"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6B0ECACB" w14:textId="1B3B82EB" w:rsidR="000D769F" w:rsidRPr="000D769F" w:rsidRDefault="00333CBC" w:rsidP="00636057">
            <w:pPr>
              <w:rPr>
                <w:rFonts w:ascii="Arial" w:hAnsi="Arial" w:cs="Arial"/>
              </w:rPr>
            </w:pPr>
            <w:r w:rsidRPr="002A714F">
              <w:rPr>
                <w:rFonts w:ascii="Arial" w:hAnsi="Arial" w:cs="Arial"/>
                <w:b/>
                <w:bCs/>
              </w:rPr>
              <w:t>Flujo de efectivo libre</w:t>
            </w:r>
            <w:r w:rsidR="000D769F" w:rsidRPr="000D769F">
              <w:rPr>
                <w:rFonts w:ascii="Arial" w:hAnsi="Arial" w:cs="Arial"/>
                <w:b/>
                <w:bCs/>
              </w:rPr>
              <w:t xml:space="preserve"> (FCF)</w:t>
            </w:r>
            <w:r w:rsidR="000D769F" w:rsidRPr="000D769F">
              <w:rPr>
                <w:rFonts w:ascii="Arial" w:hAnsi="Arial" w:cs="Arial"/>
              </w:rPr>
              <w:t xml:space="preserve">, </w:t>
            </w:r>
            <w:r w:rsidRPr="002A714F">
              <w:rPr>
                <w:rFonts w:ascii="Arial" w:hAnsi="Arial" w:cs="Arial"/>
              </w:rPr>
              <w:t xml:space="preserve">en millones </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186CB07" w14:textId="77777777" w:rsidR="000D769F" w:rsidRPr="000D769F" w:rsidRDefault="000D769F" w:rsidP="000D769F">
            <w:pPr>
              <w:jc w:val="both"/>
              <w:rPr>
                <w:rFonts w:ascii="Arial" w:hAnsi="Arial" w:cs="Arial"/>
              </w:rPr>
            </w:pPr>
            <w:r w:rsidRPr="000D769F">
              <w:rPr>
                <w:rFonts w:ascii="Arial" w:hAnsi="Arial" w:cs="Arial"/>
                <w:b/>
                <w:bCs/>
              </w:rPr>
              <w:t>1,474</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1B2799FF" w14:textId="77777777" w:rsidR="000D769F" w:rsidRPr="000D769F" w:rsidRDefault="000D769F" w:rsidP="000D769F">
            <w:pPr>
              <w:jc w:val="both"/>
              <w:rPr>
                <w:rFonts w:ascii="Arial" w:hAnsi="Arial" w:cs="Arial"/>
              </w:rPr>
            </w:pPr>
            <w:r w:rsidRPr="000D769F">
              <w:rPr>
                <w:rFonts w:ascii="Arial" w:hAnsi="Arial" w:cs="Arial"/>
              </w:rPr>
              <w:t>1,646</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594B85EE" w14:textId="77777777" w:rsidR="000D769F" w:rsidRPr="000D769F" w:rsidRDefault="000D769F" w:rsidP="000D769F">
            <w:pPr>
              <w:jc w:val="both"/>
              <w:rPr>
                <w:rFonts w:ascii="Arial" w:hAnsi="Arial" w:cs="Arial"/>
              </w:rPr>
            </w:pPr>
            <w:r w:rsidRPr="000D769F">
              <w:rPr>
                <w:rFonts w:ascii="Arial" w:hAnsi="Arial" w:cs="Arial"/>
              </w:rPr>
              <w:t>-10%</w:t>
            </w:r>
          </w:p>
        </w:tc>
      </w:tr>
      <w:tr w:rsidR="000D769F" w:rsidRPr="002A714F" w14:paraId="21EB5036"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499E67B2" w14:textId="6682F4C7" w:rsidR="000D769F" w:rsidRPr="000D769F" w:rsidRDefault="000D769F" w:rsidP="00636057">
            <w:pPr>
              <w:rPr>
                <w:rFonts w:ascii="Arial" w:hAnsi="Arial" w:cs="Arial"/>
              </w:rPr>
            </w:pPr>
            <w:r w:rsidRPr="000D769F">
              <w:rPr>
                <w:rFonts w:ascii="Arial" w:hAnsi="Arial" w:cs="Arial"/>
                <w:b/>
                <w:bCs/>
              </w:rPr>
              <w:t>F</w:t>
            </w:r>
            <w:r w:rsidR="00333CBC" w:rsidRPr="002A714F">
              <w:rPr>
                <w:rFonts w:ascii="Arial" w:hAnsi="Arial" w:cs="Arial"/>
                <w:b/>
                <w:bCs/>
              </w:rPr>
              <w:t xml:space="preserve">lujo de efectivo libre antes de fusions y adiquisiciones, </w:t>
            </w:r>
            <w:r w:rsidR="00333CBC" w:rsidRPr="002A714F">
              <w:rPr>
                <w:rFonts w:ascii="Arial" w:hAnsi="Arial" w:cs="Arial"/>
              </w:rPr>
              <w:t>en millones</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5CFCE19E" w14:textId="77777777" w:rsidR="000D769F" w:rsidRPr="000D769F" w:rsidRDefault="000D769F" w:rsidP="000D769F">
            <w:pPr>
              <w:jc w:val="both"/>
              <w:rPr>
                <w:rFonts w:ascii="Arial" w:hAnsi="Arial" w:cs="Arial"/>
              </w:rPr>
            </w:pPr>
            <w:r w:rsidRPr="000D769F">
              <w:rPr>
                <w:rFonts w:ascii="Arial" w:hAnsi="Arial" w:cs="Arial"/>
                <w:b/>
                <w:bCs/>
              </w:rPr>
              <w:t>1,532</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6C684EF3" w14:textId="77777777" w:rsidR="000D769F" w:rsidRPr="000D769F" w:rsidRDefault="000D769F" w:rsidP="000D769F">
            <w:pPr>
              <w:jc w:val="both"/>
              <w:rPr>
                <w:rFonts w:ascii="Arial" w:hAnsi="Arial" w:cs="Arial"/>
              </w:rPr>
            </w:pPr>
            <w:r w:rsidRPr="000D769F">
              <w:rPr>
                <w:rFonts w:ascii="Arial" w:hAnsi="Arial" w:cs="Arial"/>
              </w:rPr>
              <w:t>1,665</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78A9B756" w14:textId="77777777" w:rsidR="000D769F" w:rsidRPr="000D769F" w:rsidRDefault="000D769F" w:rsidP="000D769F">
            <w:pPr>
              <w:jc w:val="both"/>
              <w:rPr>
                <w:rFonts w:ascii="Arial" w:hAnsi="Arial" w:cs="Arial"/>
              </w:rPr>
            </w:pPr>
            <w:r w:rsidRPr="000D769F">
              <w:rPr>
                <w:rFonts w:ascii="Arial" w:hAnsi="Arial" w:cs="Arial"/>
              </w:rPr>
              <w:t>-8%</w:t>
            </w:r>
          </w:p>
        </w:tc>
      </w:tr>
      <w:tr w:rsidR="000D769F" w:rsidRPr="002A714F" w14:paraId="0BD54BB1" w14:textId="77777777" w:rsidTr="000D769F">
        <w:tc>
          <w:tcPr>
            <w:tcW w:w="391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5B70E5BB" w14:textId="30E58A9D" w:rsidR="000D769F" w:rsidRPr="000D769F" w:rsidRDefault="000D769F" w:rsidP="00636057">
            <w:pPr>
              <w:rPr>
                <w:rFonts w:ascii="Arial" w:hAnsi="Arial" w:cs="Arial"/>
              </w:rPr>
            </w:pPr>
            <w:r w:rsidRPr="000D769F">
              <w:rPr>
                <w:rFonts w:ascii="Arial" w:hAnsi="Arial" w:cs="Arial"/>
                <w:b/>
                <w:bCs/>
              </w:rPr>
              <w:t>F</w:t>
            </w:r>
            <w:r w:rsidR="00333CBC" w:rsidRPr="002A714F">
              <w:rPr>
                <w:rFonts w:ascii="Arial" w:hAnsi="Arial" w:cs="Arial"/>
                <w:b/>
                <w:bCs/>
              </w:rPr>
              <w:t xml:space="preserve">lujo de efectivo libre antes de fusiones y adquisiciones y financiamiento al cliente, </w:t>
            </w:r>
            <w:r w:rsidR="00333CBC" w:rsidRPr="002A714F">
              <w:rPr>
                <w:rFonts w:ascii="Arial" w:hAnsi="Arial" w:cs="Arial"/>
              </w:rPr>
              <w:t xml:space="preserve">en millones </w:t>
            </w:r>
          </w:p>
        </w:tc>
        <w:tc>
          <w:tcPr>
            <w:tcW w:w="17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152A2707" w14:textId="77777777" w:rsidR="000D769F" w:rsidRPr="000D769F" w:rsidRDefault="000D769F" w:rsidP="000D769F">
            <w:pPr>
              <w:jc w:val="both"/>
              <w:rPr>
                <w:rFonts w:ascii="Arial" w:hAnsi="Arial" w:cs="Arial"/>
              </w:rPr>
            </w:pPr>
            <w:r w:rsidRPr="000D769F">
              <w:rPr>
                <w:rFonts w:ascii="Arial" w:hAnsi="Arial" w:cs="Arial"/>
                <w:b/>
                <w:bCs/>
              </w:rPr>
              <w:t>1,574</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0D280732" w14:textId="77777777" w:rsidR="000D769F" w:rsidRPr="000D769F" w:rsidRDefault="000D769F" w:rsidP="000D769F">
            <w:pPr>
              <w:jc w:val="both"/>
              <w:rPr>
                <w:rFonts w:ascii="Arial" w:hAnsi="Arial" w:cs="Arial"/>
              </w:rPr>
            </w:pPr>
            <w:r w:rsidRPr="000D769F">
              <w:rPr>
                <w:rFonts w:ascii="Arial" w:hAnsi="Arial" w:cs="Arial"/>
              </w:rPr>
              <w:t>1,955</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53A8BFDC" w14:textId="77777777" w:rsidR="000D769F" w:rsidRPr="000D769F" w:rsidRDefault="000D769F" w:rsidP="000D769F">
            <w:pPr>
              <w:jc w:val="both"/>
              <w:rPr>
                <w:rFonts w:ascii="Arial" w:hAnsi="Arial" w:cs="Arial"/>
              </w:rPr>
            </w:pPr>
            <w:r w:rsidRPr="000D769F">
              <w:rPr>
                <w:rFonts w:ascii="Arial" w:hAnsi="Arial" w:cs="Arial"/>
              </w:rPr>
              <w:t>-19%</w:t>
            </w:r>
          </w:p>
        </w:tc>
      </w:tr>
    </w:tbl>
    <w:p w14:paraId="0C4BC4CD" w14:textId="77777777" w:rsidR="000D769F" w:rsidRPr="002A714F" w:rsidRDefault="000D769F" w:rsidP="000D769F">
      <w:pPr>
        <w:jc w:val="both"/>
        <w:rPr>
          <w:rFonts w:ascii="Arial" w:hAnsi="Arial" w:cs="Arial"/>
        </w:rPr>
      </w:pPr>
    </w:p>
    <w:tbl>
      <w:tblPr>
        <w:tblW w:w="0" w:type="dxa"/>
        <w:tblCellMar>
          <w:left w:w="0" w:type="dxa"/>
          <w:right w:w="0" w:type="dxa"/>
        </w:tblCellMar>
        <w:tblLook w:val="04A0" w:firstRow="1" w:lastRow="0" w:firstColumn="1" w:lastColumn="0" w:noHBand="0" w:noVBand="1"/>
      </w:tblPr>
      <w:tblGrid>
        <w:gridCol w:w="3810"/>
        <w:gridCol w:w="1670"/>
        <w:gridCol w:w="1670"/>
        <w:gridCol w:w="1668"/>
      </w:tblGrid>
      <w:tr w:rsidR="002A714F" w:rsidRPr="002A714F" w14:paraId="646341E7" w14:textId="77777777" w:rsidTr="00333CBC">
        <w:trPr>
          <w:trHeight w:val="450"/>
        </w:trPr>
        <w:tc>
          <w:tcPr>
            <w:tcW w:w="3945" w:type="dxa"/>
            <w:tcBorders>
              <w:top w:val="single" w:sz="8" w:space="0" w:color="000000"/>
              <w:left w:val="single" w:sz="8" w:space="0" w:color="000000"/>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B51F1F2" w14:textId="65AD8BCB" w:rsidR="00333CBC" w:rsidRPr="00333CBC" w:rsidRDefault="00333CBC" w:rsidP="00333CBC">
            <w:pPr>
              <w:jc w:val="both"/>
              <w:rPr>
                <w:rFonts w:ascii="Arial" w:hAnsi="Arial" w:cs="Arial"/>
              </w:rPr>
            </w:pPr>
            <w:r w:rsidRPr="00333CBC">
              <w:rPr>
                <w:rFonts w:ascii="Arial" w:hAnsi="Arial" w:cs="Arial"/>
                <w:b/>
                <w:bCs/>
              </w:rPr>
              <w:t>Airbus</w:t>
            </w:r>
            <w:r w:rsidRPr="002A714F">
              <w:rPr>
                <w:rFonts w:ascii="Arial" w:hAnsi="Arial" w:cs="Arial"/>
                <w:b/>
                <w:bCs/>
              </w:rPr>
              <w:t xml:space="preserve"> Consolidado</w:t>
            </w:r>
          </w:p>
        </w:tc>
        <w:tc>
          <w:tcPr>
            <w:tcW w:w="1710" w:type="dxa"/>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51BBB3D2" w14:textId="77777777" w:rsidR="00333CBC" w:rsidRPr="00333CBC" w:rsidRDefault="00333CBC" w:rsidP="00333CBC">
            <w:pPr>
              <w:jc w:val="both"/>
              <w:rPr>
                <w:rFonts w:ascii="Arial" w:hAnsi="Arial" w:cs="Arial"/>
              </w:rPr>
            </w:pPr>
            <w:r w:rsidRPr="00333CBC">
              <w:rPr>
                <w:rFonts w:ascii="Arial" w:hAnsi="Arial" w:cs="Arial"/>
                <w:b/>
                <w:bCs/>
              </w:rPr>
              <w:t>30 June 2023</w:t>
            </w:r>
          </w:p>
        </w:tc>
        <w:tc>
          <w:tcPr>
            <w:tcW w:w="1710" w:type="dxa"/>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28EE5023" w14:textId="77777777" w:rsidR="00333CBC" w:rsidRPr="00333CBC" w:rsidRDefault="00333CBC" w:rsidP="00333CBC">
            <w:pPr>
              <w:jc w:val="both"/>
              <w:rPr>
                <w:rFonts w:ascii="Arial" w:hAnsi="Arial" w:cs="Arial"/>
              </w:rPr>
            </w:pPr>
            <w:r w:rsidRPr="00333CBC">
              <w:rPr>
                <w:rFonts w:ascii="Arial" w:hAnsi="Arial" w:cs="Arial"/>
              </w:rPr>
              <w:t>31 Dec 2022</w:t>
            </w:r>
          </w:p>
        </w:tc>
        <w:tc>
          <w:tcPr>
            <w:tcW w:w="1710" w:type="dxa"/>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5985282E" w14:textId="18945361" w:rsidR="00333CBC" w:rsidRPr="00333CBC" w:rsidRDefault="00333CBC" w:rsidP="00333CBC">
            <w:pPr>
              <w:jc w:val="both"/>
              <w:rPr>
                <w:rFonts w:ascii="Arial" w:hAnsi="Arial" w:cs="Arial"/>
              </w:rPr>
            </w:pPr>
            <w:r w:rsidRPr="00333CBC">
              <w:rPr>
                <w:rFonts w:ascii="Arial" w:hAnsi="Arial" w:cs="Arial"/>
              </w:rPr>
              <w:t>C</w:t>
            </w:r>
            <w:r w:rsidR="00636057">
              <w:rPr>
                <w:rFonts w:ascii="Arial" w:hAnsi="Arial" w:cs="Arial"/>
              </w:rPr>
              <w:t>ambio</w:t>
            </w:r>
          </w:p>
        </w:tc>
      </w:tr>
      <w:tr w:rsidR="00636057" w:rsidRPr="00333CBC" w14:paraId="6D259D57" w14:textId="77777777" w:rsidTr="00333CBC">
        <w:tc>
          <w:tcPr>
            <w:tcW w:w="394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4EE428EA" w14:textId="29E27F6A" w:rsidR="00333CBC" w:rsidRPr="00333CBC" w:rsidRDefault="00333CBC" w:rsidP="00333CBC">
            <w:pPr>
              <w:jc w:val="both"/>
              <w:rPr>
                <w:rFonts w:ascii="Arial" w:hAnsi="Arial" w:cs="Arial"/>
                <w:b/>
                <w:bCs/>
              </w:rPr>
            </w:pPr>
            <w:r w:rsidRPr="00636057">
              <w:rPr>
                <w:rFonts w:ascii="Arial" w:hAnsi="Arial" w:cs="Arial"/>
                <w:b/>
                <w:bCs/>
              </w:rPr>
              <w:t>Posición neta de efectivo</w:t>
            </w:r>
            <w:r w:rsidRPr="00333CBC">
              <w:rPr>
                <w:rFonts w:ascii="Arial" w:hAnsi="Arial" w:cs="Arial"/>
                <w:b/>
                <w:bCs/>
              </w:rPr>
              <w:t xml:space="preserve">, </w:t>
            </w:r>
            <w:r w:rsidRPr="00636057">
              <w:rPr>
                <w:rFonts w:ascii="Arial" w:hAnsi="Arial" w:cs="Arial"/>
                <w:b/>
                <w:bCs/>
              </w:rPr>
              <w:t>en millones de Euros</w:t>
            </w:r>
          </w:p>
        </w:tc>
        <w:tc>
          <w:tcPr>
            <w:tcW w:w="171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2202655D" w14:textId="77777777" w:rsidR="00333CBC" w:rsidRPr="00333CBC" w:rsidRDefault="00333CBC" w:rsidP="00333CBC">
            <w:pPr>
              <w:jc w:val="both"/>
              <w:rPr>
                <w:rFonts w:ascii="Arial" w:hAnsi="Arial" w:cs="Arial"/>
              </w:rPr>
            </w:pPr>
            <w:r w:rsidRPr="00333CBC">
              <w:rPr>
                <w:rFonts w:ascii="Arial" w:hAnsi="Arial" w:cs="Arial"/>
                <w:b/>
                <w:bCs/>
              </w:rPr>
              <w:t>9,064</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50F757C8" w14:textId="77777777" w:rsidR="00333CBC" w:rsidRPr="00333CBC" w:rsidRDefault="00333CBC" w:rsidP="00333CBC">
            <w:pPr>
              <w:jc w:val="both"/>
              <w:rPr>
                <w:rFonts w:ascii="Arial" w:hAnsi="Arial" w:cs="Arial"/>
              </w:rPr>
            </w:pPr>
            <w:r w:rsidRPr="00333CBC">
              <w:rPr>
                <w:rFonts w:ascii="Arial" w:hAnsi="Arial" w:cs="Arial"/>
              </w:rPr>
              <w:t>9,431</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3BEF79EF" w14:textId="77777777" w:rsidR="00333CBC" w:rsidRPr="00333CBC" w:rsidRDefault="00333CBC" w:rsidP="00333CBC">
            <w:pPr>
              <w:jc w:val="both"/>
              <w:rPr>
                <w:rFonts w:ascii="Arial" w:hAnsi="Arial" w:cs="Arial"/>
              </w:rPr>
            </w:pPr>
            <w:r w:rsidRPr="00333CBC">
              <w:rPr>
                <w:rFonts w:ascii="Arial" w:hAnsi="Arial" w:cs="Arial"/>
              </w:rPr>
              <w:t>-4%</w:t>
            </w:r>
          </w:p>
        </w:tc>
      </w:tr>
      <w:tr w:rsidR="00636057" w:rsidRPr="00333CBC" w14:paraId="78E7D37D" w14:textId="77777777" w:rsidTr="00333CBC">
        <w:tc>
          <w:tcPr>
            <w:tcW w:w="3945"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5711F270" w14:textId="0BA857CB" w:rsidR="00333CBC" w:rsidRPr="00333CBC" w:rsidRDefault="00333CBC" w:rsidP="00333CBC">
            <w:pPr>
              <w:jc w:val="both"/>
              <w:rPr>
                <w:rFonts w:ascii="Arial" w:hAnsi="Arial" w:cs="Arial"/>
              </w:rPr>
            </w:pPr>
            <w:r w:rsidRPr="00333CBC">
              <w:rPr>
                <w:rFonts w:ascii="Arial" w:hAnsi="Arial" w:cs="Arial"/>
                <w:b/>
                <w:bCs/>
              </w:rPr>
              <w:t>N</w:t>
            </w:r>
            <w:r w:rsidRPr="002A714F">
              <w:rPr>
                <w:rFonts w:ascii="Arial" w:hAnsi="Arial" w:cs="Arial"/>
                <w:b/>
                <w:bCs/>
              </w:rPr>
              <w:t>úmero de empleados</w:t>
            </w:r>
          </w:p>
        </w:tc>
        <w:tc>
          <w:tcPr>
            <w:tcW w:w="171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668E98D0" w14:textId="77777777" w:rsidR="00333CBC" w:rsidRPr="00333CBC" w:rsidRDefault="00333CBC" w:rsidP="00333CBC">
            <w:pPr>
              <w:jc w:val="both"/>
              <w:rPr>
                <w:rFonts w:ascii="Arial" w:hAnsi="Arial" w:cs="Arial"/>
              </w:rPr>
            </w:pPr>
            <w:r w:rsidRPr="00333CBC">
              <w:rPr>
                <w:rFonts w:ascii="Arial" w:hAnsi="Arial" w:cs="Arial"/>
                <w:b/>
                <w:bCs/>
              </w:rPr>
              <w:t>141,799</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07895382" w14:textId="77777777" w:rsidR="00333CBC" w:rsidRPr="00333CBC" w:rsidRDefault="00333CBC" w:rsidP="00333CBC">
            <w:pPr>
              <w:jc w:val="both"/>
              <w:rPr>
                <w:rFonts w:ascii="Arial" w:hAnsi="Arial" w:cs="Arial"/>
              </w:rPr>
            </w:pPr>
            <w:r w:rsidRPr="00333CBC">
              <w:rPr>
                <w:rFonts w:ascii="Arial" w:hAnsi="Arial" w:cs="Arial"/>
              </w:rPr>
              <w:t>134,267</w:t>
            </w:r>
          </w:p>
        </w:tc>
        <w:tc>
          <w:tcPr>
            <w:tcW w:w="1710"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3A5563F0" w14:textId="77777777" w:rsidR="00333CBC" w:rsidRPr="00333CBC" w:rsidRDefault="00333CBC" w:rsidP="00333CBC">
            <w:pPr>
              <w:jc w:val="both"/>
              <w:rPr>
                <w:rFonts w:ascii="Arial" w:hAnsi="Arial" w:cs="Arial"/>
              </w:rPr>
            </w:pPr>
            <w:r w:rsidRPr="00333CBC">
              <w:rPr>
                <w:rFonts w:ascii="Arial" w:hAnsi="Arial" w:cs="Arial"/>
              </w:rPr>
              <w:t>+6%</w:t>
            </w:r>
          </w:p>
        </w:tc>
      </w:tr>
    </w:tbl>
    <w:p w14:paraId="2EFA1A76" w14:textId="77777777" w:rsidR="00333CBC" w:rsidRPr="002A714F" w:rsidRDefault="00333CBC" w:rsidP="000D769F">
      <w:pPr>
        <w:jc w:val="both"/>
        <w:rPr>
          <w:rFonts w:ascii="Arial" w:hAnsi="Arial" w:cs="Arial"/>
        </w:rPr>
      </w:pPr>
    </w:p>
    <w:tbl>
      <w:tblPr>
        <w:tblW w:w="0" w:type="dxa"/>
        <w:tblCellMar>
          <w:left w:w="0" w:type="dxa"/>
          <w:right w:w="0" w:type="dxa"/>
        </w:tblCellMar>
        <w:tblLook w:val="04A0" w:firstRow="1" w:lastRow="0" w:firstColumn="1" w:lastColumn="0" w:noHBand="0" w:noVBand="1"/>
      </w:tblPr>
      <w:tblGrid>
        <w:gridCol w:w="2307"/>
        <w:gridCol w:w="1007"/>
        <w:gridCol w:w="1142"/>
        <w:gridCol w:w="1071"/>
        <w:gridCol w:w="1090"/>
        <w:gridCol w:w="1212"/>
        <w:gridCol w:w="989"/>
      </w:tblGrid>
      <w:tr w:rsidR="00333CBC" w:rsidRPr="002A714F" w14:paraId="0040C483" w14:textId="77777777" w:rsidTr="00333CBC">
        <w:trPr>
          <w:trHeight w:val="405"/>
        </w:trPr>
        <w:tc>
          <w:tcPr>
            <w:tcW w:w="2385" w:type="dxa"/>
            <w:tcBorders>
              <w:top w:val="single" w:sz="8" w:space="0" w:color="000000"/>
              <w:left w:val="single" w:sz="8" w:space="0" w:color="000000"/>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542A8549" w14:textId="5E2A9D71" w:rsidR="00333CBC" w:rsidRPr="00333CBC" w:rsidRDefault="00333CBC" w:rsidP="007C0D4A">
            <w:pPr>
              <w:rPr>
                <w:rFonts w:ascii="Arial" w:hAnsi="Arial" w:cs="Arial"/>
                <w:b/>
                <w:bCs/>
              </w:rPr>
            </w:pPr>
            <w:r w:rsidRPr="007C0D4A">
              <w:rPr>
                <w:rFonts w:ascii="Arial" w:hAnsi="Arial" w:cs="Arial"/>
                <w:b/>
                <w:bCs/>
              </w:rPr>
              <w:t>Por Segmento de Negocio</w:t>
            </w:r>
          </w:p>
        </w:tc>
        <w:tc>
          <w:tcPr>
            <w:tcW w:w="3270" w:type="dxa"/>
            <w:gridSpan w:val="3"/>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7E48118A" w14:textId="3F21D3D4" w:rsidR="00333CBC" w:rsidRPr="00333CBC" w:rsidRDefault="00333CBC" w:rsidP="00333CBC">
            <w:pPr>
              <w:jc w:val="both"/>
              <w:rPr>
                <w:rFonts w:ascii="Arial" w:hAnsi="Arial" w:cs="Arial"/>
                <w:b/>
                <w:bCs/>
              </w:rPr>
            </w:pPr>
            <w:r w:rsidRPr="007C0D4A">
              <w:rPr>
                <w:rFonts w:ascii="Arial" w:hAnsi="Arial" w:cs="Arial"/>
                <w:b/>
                <w:bCs/>
              </w:rPr>
              <w:t>Ingresos</w:t>
            </w:r>
          </w:p>
        </w:tc>
        <w:tc>
          <w:tcPr>
            <w:tcW w:w="3375" w:type="dxa"/>
            <w:gridSpan w:val="3"/>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2DD5DB09" w14:textId="7263257A" w:rsidR="00333CBC" w:rsidRPr="00333CBC" w:rsidRDefault="00333CBC" w:rsidP="00333CBC">
            <w:pPr>
              <w:jc w:val="both"/>
              <w:rPr>
                <w:rFonts w:ascii="Arial" w:hAnsi="Arial" w:cs="Arial"/>
              </w:rPr>
            </w:pPr>
            <w:r w:rsidRPr="00333CBC">
              <w:rPr>
                <w:rFonts w:ascii="Arial" w:hAnsi="Arial" w:cs="Arial"/>
                <w:b/>
                <w:bCs/>
              </w:rPr>
              <w:t>EBIT (report</w:t>
            </w:r>
            <w:r w:rsidRPr="002A714F">
              <w:rPr>
                <w:rFonts w:ascii="Arial" w:hAnsi="Arial" w:cs="Arial"/>
                <w:b/>
                <w:bCs/>
              </w:rPr>
              <w:t>ado</w:t>
            </w:r>
            <w:r w:rsidRPr="00333CBC">
              <w:rPr>
                <w:rFonts w:ascii="Arial" w:hAnsi="Arial" w:cs="Arial"/>
                <w:b/>
                <w:bCs/>
              </w:rPr>
              <w:t>)</w:t>
            </w:r>
          </w:p>
        </w:tc>
      </w:tr>
      <w:tr w:rsidR="00333CBC" w:rsidRPr="002A714F" w14:paraId="729A3F78" w14:textId="77777777" w:rsidTr="00333CBC">
        <w:trPr>
          <w:trHeight w:val="420"/>
        </w:trPr>
        <w:tc>
          <w:tcPr>
            <w:tcW w:w="2385" w:type="dxa"/>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FBF79B4" w14:textId="6EC2AAE0" w:rsidR="00333CBC" w:rsidRPr="00333CBC" w:rsidRDefault="00333CBC" w:rsidP="00333CBC">
            <w:pPr>
              <w:jc w:val="both"/>
              <w:rPr>
                <w:rFonts w:ascii="Arial" w:hAnsi="Arial" w:cs="Arial"/>
              </w:rPr>
            </w:pPr>
            <w:r w:rsidRPr="00333CBC">
              <w:rPr>
                <w:rFonts w:ascii="Arial" w:hAnsi="Arial" w:cs="Arial"/>
              </w:rPr>
              <w:lastRenderedPageBreak/>
              <w:t>(</w:t>
            </w:r>
            <w:r w:rsidR="007C0D4A">
              <w:rPr>
                <w:rFonts w:ascii="Arial" w:hAnsi="Arial" w:cs="Arial"/>
              </w:rPr>
              <w:t xml:space="preserve">Montos </w:t>
            </w:r>
            <w:r w:rsidRPr="002A714F">
              <w:rPr>
                <w:rFonts w:ascii="Arial" w:hAnsi="Arial" w:cs="Arial"/>
              </w:rPr>
              <w:t xml:space="preserve">en millones de </w:t>
            </w:r>
            <w:r w:rsidRPr="00333CBC">
              <w:rPr>
                <w:rFonts w:ascii="Arial" w:hAnsi="Arial" w:cs="Arial"/>
              </w:rPr>
              <w:t>Euro</w:t>
            </w:r>
            <w:r w:rsidRPr="002A714F">
              <w:rPr>
                <w:rFonts w:ascii="Arial" w:hAnsi="Arial" w:cs="Arial"/>
              </w:rPr>
              <w:t>s</w:t>
            </w:r>
            <w:r w:rsidRPr="00333CBC">
              <w:rPr>
                <w:rFonts w:ascii="Arial" w:hAnsi="Arial" w:cs="Arial"/>
              </w:rPr>
              <w:t>)</w:t>
            </w:r>
          </w:p>
        </w:tc>
        <w:tc>
          <w:tcPr>
            <w:tcW w:w="102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7FACDD5B" w14:textId="77777777" w:rsidR="00333CBC" w:rsidRPr="00333CBC" w:rsidRDefault="00333CBC" w:rsidP="00333CBC">
            <w:pPr>
              <w:jc w:val="both"/>
              <w:rPr>
                <w:rFonts w:ascii="Arial" w:hAnsi="Arial" w:cs="Arial"/>
              </w:rPr>
            </w:pPr>
            <w:r w:rsidRPr="00333CBC">
              <w:rPr>
                <w:rFonts w:ascii="Arial" w:hAnsi="Arial" w:cs="Arial"/>
                <w:b/>
                <w:bCs/>
              </w:rPr>
              <w:t>H1 2023</w:t>
            </w:r>
          </w:p>
        </w:tc>
        <w:tc>
          <w:tcPr>
            <w:tcW w:w="117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5B4FB06" w14:textId="77777777" w:rsidR="00333CBC" w:rsidRPr="00333CBC" w:rsidRDefault="00333CBC" w:rsidP="00333CBC">
            <w:pPr>
              <w:jc w:val="both"/>
              <w:rPr>
                <w:rFonts w:ascii="Arial" w:hAnsi="Arial" w:cs="Arial"/>
              </w:rPr>
            </w:pPr>
            <w:r w:rsidRPr="00333CBC">
              <w:rPr>
                <w:rFonts w:ascii="Arial" w:hAnsi="Arial" w:cs="Arial"/>
              </w:rPr>
              <w:t>H1 2022</w:t>
            </w:r>
          </w:p>
        </w:tc>
        <w:tc>
          <w:tcPr>
            <w:tcW w:w="108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B0EDE89" w14:textId="77777777" w:rsidR="00333CBC" w:rsidRPr="00333CBC" w:rsidRDefault="00333CBC" w:rsidP="00333CBC">
            <w:pPr>
              <w:jc w:val="both"/>
              <w:rPr>
                <w:rFonts w:ascii="Arial" w:hAnsi="Arial" w:cs="Arial"/>
              </w:rPr>
            </w:pPr>
            <w:r w:rsidRPr="00333CBC">
              <w:rPr>
                <w:rFonts w:ascii="Arial" w:hAnsi="Arial" w:cs="Arial"/>
              </w:rPr>
              <w:t>Change</w:t>
            </w:r>
          </w:p>
        </w:tc>
        <w:tc>
          <w:tcPr>
            <w:tcW w:w="11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747C00F0" w14:textId="77777777" w:rsidR="00333CBC" w:rsidRPr="00333CBC" w:rsidRDefault="00333CBC" w:rsidP="00333CBC">
            <w:pPr>
              <w:jc w:val="both"/>
              <w:rPr>
                <w:rFonts w:ascii="Arial" w:hAnsi="Arial" w:cs="Arial"/>
              </w:rPr>
            </w:pPr>
            <w:r w:rsidRPr="00333CBC">
              <w:rPr>
                <w:rFonts w:ascii="Arial" w:hAnsi="Arial" w:cs="Arial"/>
                <w:b/>
                <w:bCs/>
              </w:rPr>
              <w:t>H1 2023</w:t>
            </w:r>
          </w:p>
        </w:tc>
        <w:tc>
          <w:tcPr>
            <w:tcW w:w="126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43CE8DA" w14:textId="77777777" w:rsidR="00333CBC" w:rsidRPr="00333CBC" w:rsidRDefault="00333CBC" w:rsidP="00333CBC">
            <w:pPr>
              <w:jc w:val="both"/>
              <w:rPr>
                <w:rFonts w:ascii="Arial" w:hAnsi="Arial" w:cs="Arial"/>
              </w:rPr>
            </w:pPr>
            <w:r w:rsidRPr="00333CBC">
              <w:rPr>
                <w:rFonts w:ascii="Arial" w:hAnsi="Arial" w:cs="Arial"/>
              </w:rPr>
              <w:t>H1 2022</w:t>
            </w:r>
          </w:p>
        </w:tc>
        <w:tc>
          <w:tcPr>
            <w:tcW w:w="99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3FBDE22A" w14:textId="77777777" w:rsidR="00333CBC" w:rsidRPr="00333CBC" w:rsidRDefault="00333CBC" w:rsidP="00333CBC">
            <w:pPr>
              <w:jc w:val="both"/>
              <w:rPr>
                <w:rFonts w:ascii="Arial" w:hAnsi="Arial" w:cs="Arial"/>
              </w:rPr>
            </w:pPr>
            <w:r w:rsidRPr="00333CBC">
              <w:rPr>
                <w:rFonts w:ascii="Arial" w:hAnsi="Arial" w:cs="Arial"/>
              </w:rPr>
              <w:t>Change</w:t>
            </w:r>
          </w:p>
        </w:tc>
      </w:tr>
      <w:tr w:rsidR="00333CBC" w:rsidRPr="002A714F" w14:paraId="11DFC84B" w14:textId="77777777" w:rsidTr="00333CBC">
        <w:trPr>
          <w:trHeight w:val="120"/>
        </w:trPr>
        <w:tc>
          <w:tcPr>
            <w:tcW w:w="2385" w:type="dxa"/>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281D31C" w14:textId="77777777" w:rsidR="00333CBC" w:rsidRPr="00333CBC" w:rsidRDefault="00333CBC" w:rsidP="00333CBC">
            <w:pPr>
              <w:jc w:val="both"/>
              <w:rPr>
                <w:rFonts w:ascii="Arial" w:hAnsi="Arial" w:cs="Arial"/>
              </w:rPr>
            </w:pPr>
            <w:r w:rsidRPr="00333CBC">
              <w:rPr>
                <w:rFonts w:ascii="Arial" w:hAnsi="Arial" w:cs="Arial"/>
              </w:rPr>
              <w:t>Airbus</w:t>
            </w:r>
          </w:p>
        </w:tc>
        <w:tc>
          <w:tcPr>
            <w:tcW w:w="102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698C9E07" w14:textId="77777777" w:rsidR="00333CBC" w:rsidRPr="00333CBC" w:rsidRDefault="00333CBC" w:rsidP="00333CBC">
            <w:pPr>
              <w:jc w:val="both"/>
              <w:rPr>
                <w:rFonts w:ascii="Arial" w:hAnsi="Arial" w:cs="Arial"/>
              </w:rPr>
            </w:pPr>
            <w:r w:rsidRPr="00333CBC">
              <w:rPr>
                <w:rFonts w:ascii="Arial" w:hAnsi="Arial" w:cs="Arial"/>
                <w:b/>
                <w:bCs/>
              </w:rPr>
              <w:t>20,349</w:t>
            </w:r>
          </w:p>
        </w:tc>
        <w:tc>
          <w:tcPr>
            <w:tcW w:w="117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2976FF9" w14:textId="77777777" w:rsidR="00333CBC" w:rsidRPr="00333CBC" w:rsidRDefault="00333CBC" w:rsidP="00333CBC">
            <w:pPr>
              <w:jc w:val="both"/>
              <w:rPr>
                <w:rFonts w:ascii="Arial" w:hAnsi="Arial" w:cs="Arial"/>
              </w:rPr>
            </w:pPr>
            <w:r w:rsidRPr="00333CBC">
              <w:rPr>
                <w:rFonts w:ascii="Arial" w:hAnsi="Arial" w:cs="Arial"/>
              </w:rPr>
              <w:t>17,533</w:t>
            </w:r>
          </w:p>
        </w:tc>
        <w:tc>
          <w:tcPr>
            <w:tcW w:w="108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16AF7FD9" w14:textId="77777777" w:rsidR="00333CBC" w:rsidRPr="00333CBC" w:rsidRDefault="00333CBC" w:rsidP="00333CBC">
            <w:pPr>
              <w:jc w:val="both"/>
              <w:rPr>
                <w:rFonts w:ascii="Arial" w:hAnsi="Arial" w:cs="Arial"/>
              </w:rPr>
            </w:pPr>
            <w:r w:rsidRPr="00333CBC">
              <w:rPr>
                <w:rFonts w:ascii="Arial" w:hAnsi="Arial" w:cs="Arial"/>
              </w:rPr>
              <w:t>+16%</w:t>
            </w:r>
          </w:p>
        </w:tc>
        <w:tc>
          <w:tcPr>
            <w:tcW w:w="11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65C859E2" w14:textId="77777777" w:rsidR="00333CBC" w:rsidRPr="00333CBC" w:rsidRDefault="00333CBC" w:rsidP="00333CBC">
            <w:pPr>
              <w:jc w:val="both"/>
              <w:rPr>
                <w:rFonts w:ascii="Arial" w:hAnsi="Arial" w:cs="Arial"/>
              </w:rPr>
            </w:pPr>
            <w:r w:rsidRPr="00333CBC">
              <w:rPr>
                <w:rFonts w:ascii="Arial" w:hAnsi="Arial" w:cs="Arial"/>
                <w:b/>
                <w:bCs/>
              </w:rPr>
              <w:t>1,523</w:t>
            </w:r>
          </w:p>
        </w:tc>
        <w:tc>
          <w:tcPr>
            <w:tcW w:w="126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22D19D4" w14:textId="77777777" w:rsidR="00333CBC" w:rsidRPr="00333CBC" w:rsidRDefault="00333CBC" w:rsidP="00333CBC">
            <w:pPr>
              <w:jc w:val="both"/>
              <w:rPr>
                <w:rFonts w:ascii="Arial" w:hAnsi="Arial" w:cs="Arial"/>
              </w:rPr>
            </w:pPr>
            <w:r w:rsidRPr="00333CBC">
              <w:rPr>
                <w:rFonts w:ascii="Arial" w:hAnsi="Arial" w:cs="Arial"/>
              </w:rPr>
              <w:t>2,478</w:t>
            </w:r>
          </w:p>
        </w:tc>
        <w:tc>
          <w:tcPr>
            <w:tcW w:w="99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744B4FB" w14:textId="77777777" w:rsidR="00333CBC" w:rsidRPr="00333CBC" w:rsidRDefault="00333CBC" w:rsidP="00333CBC">
            <w:pPr>
              <w:jc w:val="both"/>
              <w:rPr>
                <w:rFonts w:ascii="Arial" w:hAnsi="Arial" w:cs="Arial"/>
              </w:rPr>
            </w:pPr>
            <w:r w:rsidRPr="00333CBC">
              <w:rPr>
                <w:rFonts w:ascii="Arial" w:hAnsi="Arial" w:cs="Arial"/>
              </w:rPr>
              <w:t>-39%</w:t>
            </w:r>
          </w:p>
        </w:tc>
      </w:tr>
      <w:tr w:rsidR="00333CBC" w:rsidRPr="002A714F" w14:paraId="2E42B85A" w14:textId="77777777" w:rsidTr="00333CBC">
        <w:trPr>
          <w:trHeight w:val="120"/>
        </w:trPr>
        <w:tc>
          <w:tcPr>
            <w:tcW w:w="2385" w:type="dxa"/>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113A72F" w14:textId="77777777" w:rsidR="00333CBC" w:rsidRPr="00333CBC" w:rsidRDefault="00333CBC" w:rsidP="00333CBC">
            <w:pPr>
              <w:jc w:val="both"/>
              <w:rPr>
                <w:rFonts w:ascii="Arial" w:hAnsi="Arial" w:cs="Arial"/>
              </w:rPr>
            </w:pPr>
            <w:r w:rsidRPr="00333CBC">
              <w:rPr>
                <w:rFonts w:ascii="Arial" w:hAnsi="Arial" w:cs="Arial"/>
              </w:rPr>
              <w:t>Airbus Helicopters</w:t>
            </w:r>
          </w:p>
        </w:tc>
        <w:tc>
          <w:tcPr>
            <w:tcW w:w="102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7A0189EA" w14:textId="77777777" w:rsidR="00333CBC" w:rsidRPr="00333CBC" w:rsidRDefault="00333CBC" w:rsidP="00333CBC">
            <w:pPr>
              <w:jc w:val="both"/>
              <w:rPr>
                <w:rFonts w:ascii="Arial" w:hAnsi="Arial" w:cs="Arial"/>
              </w:rPr>
            </w:pPr>
            <w:r w:rsidRPr="00333CBC">
              <w:rPr>
                <w:rFonts w:ascii="Arial" w:hAnsi="Arial" w:cs="Arial"/>
                <w:b/>
                <w:bCs/>
              </w:rPr>
              <w:t>3,194</w:t>
            </w:r>
          </w:p>
        </w:tc>
        <w:tc>
          <w:tcPr>
            <w:tcW w:w="117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814E007" w14:textId="77777777" w:rsidR="00333CBC" w:rsidRPr="00333CBC" w:rsidRDefault="00333CBC" w:rsidP="00333CBC">
            <w:pPr>
              <w:jc w:val="both"/>
              <w:rPr>
                <w:rFonts w:ascii="Arial" w:hAnsi="Arial" w:cs="Arial"/>
              </w:rPr>
            </w:pPr>
            <w:r w:rsidRPr="00333CBC">
              <w:rPr>
                <w:rFonts w:ascii="Arial" w:hAnsi="Arial" w:cs="Arial"/>
              </w:rPr>
              <w:t>2,744</w:t>
            </w:r>
          </w:p>
        </w:tc>
        <w:tc>
          <w:tcPr>
            <w:tcW w:w="108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3E3367F" w14:textId="77777777" w:rsidR="00333CBC" w:rsidRPr="00333CBC" w:rsidRDefault="00333CBC" w:rsidP="00333CBC">
            <w:pPr>
              <w:jc w:val="both"/>
              <w:rPr>
                <w:rFonts w:ascii="Arial" w:hAnsi="Arial" w:cs="Arial"/>
              </w:rPr>
            </w:pPr>
            <w:r w:rsidRPr="00333CBC">
              <w:rPr>
                <w:rFonts w:ascii="Arial" w:hAnsi="Arial" w:cs="Arial"/>
              </w:rPr>
              <w:t>+16%</w:t>
            </w:r>
          </w:p>
        </w:tc>
        <w:tc>
          <w:tcPr>
            <w:tcW w:w="11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7EAE8AB0" w14:textId="77777777" w:rsidR="00333CBC" w:rsidRPr="00333CBC" w:rsidRDefault="00333CBC" w:rsidP="00333CBC">
            <w:pPr>
              <w:jc w:val="both"/>
              <w:rPr>
                <w:rFonts w:ascii="Arial" w:hAnsi="Arial" w:cs="Arial"/>
              </w:rPr>
            </w:pPr>
            <w:r w:rsidRPr="00333CBC">
              <w:rPr>
                <w:rFonts w:ascii="Arial" w:hAnsi="Arial" w:cs="Arial"/>
                <w:b/>
                <w:bCs/>
              </w:rPr>
              <w:t>267</w:t>
            </w:r>
          </w:p>
        </w:tc>
        <w:tc>
          <w:tcPr>
            <w:tcW w:w="126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090B7901" w14:textId="77777777" w:rsidR="00333CBC" w:rsidRPr="00333CBC" w:rsidRDefault="00333CBC" w:rsidP="00333CBC">
            <w:pPr>
              <w:jc w:val="both"/>
              <w:rPr>
                <w:rFonts w:ascii="Arial" w:hAnsi="Arial" w:cs="Arial"/>
              </w:rPr>
            </w:pPr>
            <w:r w:rsidRPr="00333CBC">
              <w:rPr>
                <w:rFonts w:ascii="Arial" w:hAnsi="Arial" w:cs="Arial"/>
              </w:rPr>
              <w:t>215</w:t>
            </w:r>
          </w:p>
        </w:tc>
        <w:tc>
          <w:tcPr>
            <w:tcW w:w="99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182DC09B" w14:textId="77777777" w:rsidR="00333CBC" w:rsidRPr="00333CBC" w:rsidRDefault="00333CBC" w:rsidP="00333CBC">
            <w:pPr>
              <w:jc w:val="both"/>
              <w:rPr>
                <w:rFonts w:ascii="Arial" w:hAnsi="Arial" w:cs="Arial"/>
              </w:rPr>
            </w:pPr>
            <w:r w:rsidRPr="00333CBC">
              <w:rPr>
                <w:rFonts w:ascii="Arial" w:hAnsi="Arial" w:cs="Arial"/>
              </w:rPr>
              <w:t>+24%</w:t>
            </w:r>
          </w:p>
        </w:tc>
      </w:tr>
      <w:tr w:rsidR="00333CBC" w:rsidRPr="002A714F" w14:paraId="75A73953" w14:textId="77777777" w:rsidTr="00333CBC">
        <w:trPr>
          <w:trHeight w:val="195"/>
        </w:trPr>
        <w:tc>
          <w:tcPr>
            <w:tcW w:w="2385" w:type="dxa"/>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0A71775" w14:textId="77777777" w:rsidR="00333CBC" w:rsidRPr="00333CBC" w:rsidRDefault="00333CBC" w:rsidP="00333CBC">
            <w:pPr>
              <w:jc w:val="both"/>
              <w:rPr>
                <w:rFonts w:ascii="Arial" w:hAnsi="Arial" w:cs="Arial"/>
              </w:rPr>
            </w:pPr>
            <w:r w:rsidRPr="00333CBC">
              <w:rPr>
                <w:rFonts w:ascii="Arial" w:hAnsi="Arial" w:cs="Arial"/>
              </w:rPr>
              <w:t>Airbus Defence and Space</w:t>
            </w:r>
          </w:p>
        </w:tc>
        <w:tc>
          <w:tcPr>
            <w:tcW w:w="102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53BB746" w14:textId="77777777" w:rsidR="00333CBC" w:rsidRPr="00333CBC" w:rsidRDefault="00333CBC" w:rsidP="00333CBC">
            <w:pPr>
              <w:jc w:val="both"/>
              <w:rPr>
                <w:rFonts w:ascii="Arial" w:hAnsi="Arial" w:cs="Arial"/>
              </w:rPr>
            </w:pPr>
            <w:r w:rsidRPr="00333CBC">
              <w:rPr>
                <w:rFonts w:ascii="Arial" w:hAnsi="Arial" w:cs="Arial"/>
                <w:b/>
                <w:bCs/>
              </w:rPr>
              <w:t>4,653</w:t>
            </w:r>
          </w:p>
        </w:tc>
        <w:tc>
          <w:tcPr>
            <w:tcW w:w="117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EF2D51E" w14:textId="77777777" w:rsidR="00333CBC" w:rsidRPr="00333CBC" w:rsidRDefault="00333CBC" w:rsidP="00333CBC">
            <w:pPr>
              <w:jc w:val="both"/>
              <w:rPr>
                <w:rFonts w:ascii="Arial" w:hAnsi="Arial" w:cs="Arial"/>
              </w:rPr>
            </w:pPr>
            <w:r w:rsidRPr="00333CBC">
              <w:rPr>
                <w:rFonts w:ascii="Arial" w:hAnsi="Arial" w:cs="Arial"/>
              </w:rPr>
              <w:t>5,056</w:t>
            </w:r>
          </w:p>
        </w:tc>
        <w:tc>
          <w:tcPr>
            <w:tcW w:w="108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4E6ADD3" w14:textId="77777777" w:rsidR="00333CBC" w:rsidRPr="00333CBC" w:rsidRDefault="00333CBC" w:rsidP="00333CBC">
            <w:pPr>
              <w:jc w:val="both"/>
              <w:rPr>
                <w:rFonts w:ascii="Arial" w:hAnsi="Arial" w:cs="Arial"/>
              </w:rPr>
            </w:pPr>
            <w:r w:rsidRPr="00333CBC">
              <w:rPr>
                <w:rFonts w:ascii="Arial" w:hAnsi="Arial" w:cs="Arial"/>
              </w:rPr>
              <w:t>-8%</w:t>
            </w:r>
          </w:p>
        </w:tc>
        <w:tc>
          <w:tcPr>
            <w:tcW w:w="11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0A74DE5" w14:textId="77777777" w:rsidR="00333CBC" w:rsidRPr="00333CBC" w:rsidRDefault="00333CBC" w:rsidP="00333CBC">
            <w:pPr>
              <w:jc w:val="both"/>
              <w:rPr>
                <w:rFonts w:ascii="Arial" w:hAnsi="Arial" w:cs="Arial"/>
              </w:rPr>
            </w:pPr>
            <w:r w:rsidRPr="00333CBC">
              <w:rPr>
                <w:rFonts w:ascii="Arial" w:hAnsi="Arial" w:cs="Arial"/>
                <w:b/>
                <w:bCs/>
              </w:rPr>
              <w:t>87</w:t>
            </w:r>
          </w:p>
        </w:tc>
        <w:tc>
          <w:tcPr>
            <w:tcW w:w="126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1D6426A8" w14:textId="77777777" w:rsidR="00333CBC" w:rsidRPr="00333CBC" w:rsidRDefault="00333CBC" w:rsidP="00333CBC">
            <w:pPr>
              <w:jc w:val="both"/>
              <w:rPr>
                <w:rFonts w:ascii="Arial" w:hAnsi="Arial" w:cs="Arial"/>
              </w:rPr>
            </w:pPr>
            <w:r w:rsidRPr="00333CBC">
              <w:rPr>
                <w:rFonts w:ascii="Arial" w:hAnsi="Arial" w:cs="Arial"/>
              </w:rPr>
              <w:t>-113</w:t>
            </w:r>
          </w:p>
        </w:tc>
        <w:tc>
          <w:tcPr>
            <w:tcW w:w="99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62BB40E" w14:textId="77777777" w:rsidR="00333CBC" w:rsidRPr="00333CBC" w:rsidRDefault="00333CBC" w:rsidP="00333CBC">
            <w:pPr>
              <w:jc w:val="both"/>
              <w:rPr>
                <w:rFonts w:ascii="Arial" w:hAnsi="Arial" w:cs="Arial"/>
              </w:rPr>
            </w:pPr>
            <w:r w:rsidRPr="00333CBC">
              <w:rPr>
                <w:rFonts w:ascii="Arial" w:hAnsi="Arial" w:cs="Arial"/>
              </w:rPr>
              <w:t>-</w:t>
            </w:r>
          </w:p>
        </w:tc>
      </w:tr>
      <w:tr w:rsidR="00333CBC" w:rsidRPr="002A714F" w14:paraId="6CC3957C" w14:textId="77777777" w:rsidTr="00333CBC">
        <w:trPr>
          <w:trHeight w:val="420"/>
        </w:trPr>
        <w:tc>
          <w:tcPr>
            <w:tcW w:w="2385" w:type="dxa"/>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B4F26DB" w14:textId="767BA0EE" w:rsidR="00333CBC" w:rsidRPr="00333CBC" w:rsidRDefault="00333CBC" w:rsidP="00333CBC">
            <w:pPr>
              <w:jc w:val="both"/>
              <w:rPr>
                <w:rFonts w:ascii="Arial" w:hAnsi="Arial" w:cs="Arial"/>
              </w:rPr>
            </w:pPr>
            <w:r w:rsidRPr="00333CBC">
              <w:rPr>
                <w:rFonts w:ascii="Arial" w:hAnsi="Arial" w:cs="Arial"/>
              </w:rPr>
              <w:t>Elimina</w:t>
            </w:r>
            <w:r w:rsidR="00987C9F" w:rsidRPr="002A714F">
              <w:rPr>
                <w:rFonts w:ascii="Arial" w:hAnsi="Arial" w:cs="Arial"/>
              </w:rPr>
              <w:t>ciones</w:t>
            </w:r>
          </w:p>
        </w:tc>
        <w:tc>
          <w:tcPr>
            <w:tcW w:w="102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16926339" w14:textId="77777777" w:rsidR="00333CBC" w:rsidRPr="00333CBC" w:rsidRDefault="00333CBC" w:rsidP="00333CBC">
            <w:pPr>
              <w:jc w:val="both"/>
              <w:rPr>
                <w:rFonts w:ascii="Arial" w:hAnsi="Arial" w:cs="Arial"/>
              </w:rPr>
            </w:pPr>
            <w:r w:rsidRPr="00333CBC">
              <w:rPr>
                <w:rFonts w:ascii="Arial" w:hAnsi="Arial" w:cs="Arial"/>
                <w:b/>
                <w:bCs/>
              </w:rPr>
              <w:t>-533</w:t>
            </w:r>
          </w:p>
        </w:tc>
        <w:tc>
          <w:tcPr>
            <w:tcW w:w="117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08F53603" w14:textId="77777777" w:rsidR="00333CBC" w:rsidRPr="00333CBC" w:rsidRDefault="00333CBC" w:rsidP="00333CBC">
            <w:pPr>
              <w:jc w:val="both"/>
              <w:rPr>
                <w:rFonts w:ascii="Arial" w:hAnsi="Arial" w:cs="Arial"/>
              </w:rPr>
            </w:pPr>
            <w:r w:rsidRPr="00333CBC">
              <w:rPr>
                <w:rFonts w:ascii="Arial" w:hAnsi="Arial" w:cs="Arial"/>
              </w:rPr>
              <w:t>-523</w:t>
            </w:r>
          </w:p>
        </w:tc>
        <w:tc>
          <w:tcPr>
            <w:tcW w:w="108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225BC53" w14:textId="77777777" w:rsidR="00333CBC" w:rsidRPr="00333CBC" w:rsidRDefault="00333CBC" w:rsidP="00333CBC">
            <w:pPr>
              <w:jc w:val="both"/>
              <w:rPr>
                <w:rFonts w:ascii="Arial" w:hAnsi="Arial" w:cs="Arial"/>
              </w:rPr>
            </w:pPr>
            <w:r w:rsidRPr="00333CBC">
              <w:rPr>
                <w:rFonts w:ascii="Arial" w:hAnsi="Arial" w:cs="Arial"/>
              </w:rPr>
              <w:t>-</w:t>
            </w:r>
          </w:p>
        </w:tc>
        <w:tc>
          <w:tcPr>
            <w:tcW w:w="11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CB68E93" w14:textId="77777777" w:rsidR="00333CBC" w:rsidRPr="00333CBC" w:rsidRDefault="00333CBC" w:rsidP="00333CBC">
            <w:pPr>
              <w:jc w:val="both"/>
              <w:rPr>
                <w:rFonts w:ascii="Arial" w:hAnsi="Arial" w:cs="Arial"/>
              </w:rPr>
            </w:pPr>
            <w:r w:rsidRPr="00333CBC">
              <w:rPr>
                <w:rFonts w:ascii="Arial" w:hAnsi="Arial" w:cs="Arial"/>
                <w:b/>
                <w:bCs/>
              </w:rPr>
              <w:t>10</w:t>
            </w:r>
          </w:p>
        </w:tc>
        <w:tc>
          <w:tcPr>
            <w:tcW w:w="126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2886FC0" w14:textId="77777777" w:rsidR="00333CBC" w:rsidRPr="00333CBC" w:rsidRDefault="00333CBC" w:rsidP="00333CBC">
            <w:pPr>
              <w:jc w:val="both"/>
              <w:rPr>
                <w:rFonts w:ascii="Arial" w:hAnsi="Arial" w:cs="Arial"/>
              </w:rPr>
            </w:pPr>
            <w:r w:rsidRPr="00333CBC">
              <w:rPr>
                <w:rFonts w:ascii="Arial" w:hAnsi="Arial" w:cs="Arial"/>
              </w:rPr>
              <w:t>-1</w:t>
            </w:r>
          </w:p>
        </w:tc>
        <w:tc>
          <w:tcPr>
            <w:tcW w:w="99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0733E422" w14:textId="77777777" w:rsidR="00333CBC" w:rsidRPr="00333CBC" w:rsidRDefault="00333CBC" w:rsidP="00333CBC">
            <w:pPr>
              <w:jc w:val="both"/>
              <w:rPr>
                <w:rFonts w:ascii="Arial" w:hAnsi="Arial" w:cs="Arial"/>
              </w:rPr>
            </w:pPr>
            <w:r w:rsidRPr="00333CBC">
              <w:rPr>
                <w:rFonts w:ascii="Arial" w:hAnsi="Arial" w:cs="Arial"/>
              </w:rPr>
              <w:t>-</w:t>
            </w:r>
          </w:p>
        </w:tc>
      </w:tr>
      <w:tr w:rsidR="00333CBC" w:rsidRPr="002A714F" w14:paraId="7E8D48A6" w14:textId="77777777" w:rsidTr="00333CBC">
        <w:trPr>
          <w:trHeight w:val="420"/>
        </w:trPr>
        <w:tc>
          <w:tcPr>
            <w:tcW w:w="2385" w:type="dxa"/>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64AAB89" w14:textId="77777777" w:rsidR="00333CBC" w:rsidRPr="00333CBC" w:rsidRDefault="00333CBC" w:rsidP="00333CBC">
            <w:pPr>
              <w:jc w:val="both"/>
              <w:rPr>
                <w:rFonts w:ascii="Arial" w:hAnsi="Arial" w:cs="Arial"/>
              </w:rPr>
            </w:pPr>
            <w:r w:rsidRPr="00333CBC">
              <w:rPr>
                <w:rFonts w:ascii="Arial" w:hAnsi="Arial" w:cs="Arial"/>
                <w:b/>
                <w:bCs/>
              </w:rPr>
              <w:t>Total</w:t>
            </w:r>
          </w:p>
        </w:tc>
        <w:tc>
          <w:tcPr>
            <w:tcW w:w="102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19A3796B" w14:textId="77777777" w:rsidR="00333CBC" w:rsidRPr="00333CBC" w:rsidRDefault="00333CBC" w:rsidP="00333CBC">
            <w:pPr>
              <w:jc w:val="both"/>
              <w:rPr>
                <w:rFonts w:ascii="Arial" w:hAnsi="Arial" w:cs="Arial"/>
              </w:rPr>
            </w:pPr>
            <w:r w:rsidRPr="00333CBC">
              <w:rPr>
                <w:rFonts w:ascii="Arial" w:hAnsi="Arial" w:cs="Arial"/>
                <w:b/>
                <w:bCs/>
              </w:rPr>
              <w:t>27,663</w:t>
            </w:r>
          </w:p>
        </w:tc>
        <w:tc>
          <w:tcPr>
            <w:tcW w:w="117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F75BEC3" w14:textId="77777777" w:rsidR="00333CBC" w:rsidRPr="00333CBC" w:rsidRDefault="00333CBC" w:rsidP="00333CBC">
            <w:pPr>
              <w:jc w:val="both"/>
              <w:rPr>
                <w:rFonts w:ascii="Arial" w:hAnsi="Arial" w:cs="Arial"/>
              </w:rPr>
            </w:pPr>
            <w:r w:rsidRPr="00333CBC">
              <w:rPr>
                <w:rFonts w:ascii="Arial" w:hAnsi="Arial" w:cs="Arial"/>
              </w:rPr>
              <w:t>24,810</w:t>
            </w:r>
          </w:p>
        </w:tc>
        <w:tc>
          <w:tcPr>
            <w:tcW w:w="108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323FDDB" w14:textId="77777777" w:rsidR="00333CBC" w:rsidRPr="00333CBC" w:rsidRDefault="00333CBC" w:rsidP="00333CBC">
            <w:pPr>
              <w:jc w:val="both"/>
              <w:rPr>
                <w:rFonts w:ascii="Arial" w:hAnsi="Arial" w:cs="Arial"/>
              </w:rPr>
            </w:pPr>
            <w:r w:rsidRPr="00333CBC">
              <w:rPr>
                <w:rFonts w:ascii="Arial" w:hAnsi="Arial" w:cs="Arial"/>
              </w:rPr>
              <w:t>+11%</w:t>
            </w:r>
          </w:p>
        </w:tc>
        <w:tc>
          <w:tcPr>
            <w:tcW w:w="1125"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26CE8B2F" w14:textId="77777777" w:rsidR="00333CBC" w:rsidRPr="00333CBC" w:rsidRDefault="00333CBC" w:rsidP="00333CBC">
            <w:pPr>
              <w:jc w:val="both"/>
              <w:rPr>
                <w:rFonts w:ascii="Arial" w:hAnsi="Arial" w:cs="Arial"/>
              </w:rPr>
            </w:pPr>
            <w:r w:rsidRPr="00333CBC">
              <w:rPr>
                <w:rFonts w:ascii="Arial" w:hAnsi="Arial" w:cs="Arial"/>
                <w:b/>
                <w:bCs/>
              </w:rPr>
              <w:t>1,887</w:t>
            </w:r>
          </w:p>
        </w:tc>
        <w:tc>
          <w:tcPr>
            <w:tcW w:w="126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CBE4EA2" w14:textId="77777777" w:rsidR="00333CBC" w:rsidRPr="00333CBC" w:rsidRDefault="00333CBC" w:rsidP="00333CBC">
            <w:pPr>
              <w:jc w:val="both"/>
              <w:rPr>
                <w:rFonts w:ascii="Arial" w:hAnsi="Arial" w:cs="Arial"/>
              </w:rPr>
            </w:pPr>
            <w:r w:rsidRPr="00333CBC">
              <w:rPr>
                <w:rFonts w:ascii="Arial" w:hAnsi="Arial" w:cs="Arial"/>
              </w:rPr>
              <w:t>2,579</w:t>
            </w:r>
          </w:p>
        </w:tc>
        <w:tc>
          <w:tcPr>
            <w:tcW w:w="990"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0BDB7E69" w14:textId="77777777" w:rsidR="00333CBC" w:rsidRPr="00333CBC" w:rsidRDefault="00333CBC" w:rsidP="00333CBC">
            <w:pPr>
              <w:jc w:val="both"/>
              <w:rPr>
                <w:rFonts w:ascii="Arial" w:hAnsi="Arial" w:cs="Arial"/>
              </w:rPr>
            </w:pPr>
            <w:r w:rsidRPr="00333CBC">
              <w:rPr>
                <w:rFonts w:ascii="Arial" w:hAnsi="Arial" w:cs="Arial"/>
              </w:rPr>
              <w:t>-27%</w:t>
            </w:r>
          </w:p>
        </w:tc>
      </w:tr>
    </w:tbl>
    <w:p w14:paraId="12D798D8" w14:textId="77777777" w:rsidR="00333CBC" w:rsidRPr="002A714F" w:rsidRDefault="00333CBC" w:rsidP="000D769F">
      <w:pPr>
        <w:jc w:val="both"/>
        <w:rPr>
          <w:rFonts w:ascii="Arial" w:hAnsi="Arial" w:cs="Arial"/>
        </w:rPr>
      </w:pPr>
    </w:p>
    <w:tbl>
      <w:tblPr>
        <w:tblW w:w="8818" w:type="dxa"/>
        <w:tblCellMar>
          <w:left w:w="0" w:type="dxa"/>
          <w:right w:w="0" w:type="dxa"/>
        </w:tblCellMar>
        <w:tblLook w:val="04A0" w:firstRow="1" w:lastRow="0" w:firstColumn="1" w:lastColumn="0" w:noHBand="0" w:noVBand="1"/>
      </w:tblPr>
      <w:tblGrid>
        <w:gridCol w:w="3109"/>
        <w:gridCol w:w="1310"/>
        <w:gridCol w:w="2193"/>
        <w:gridCol w:w="2206"/>
      </w:tblGrid>
      <w:tr w:rsidR="00987C9F" w:rsidRPr="00987C9F" w14:paraId="45A545BB" w14:textId="77777777" w:rsidTr="007C0D4A">
        <w:trPr>
          <w:trHeight w:val="345"/>
          <w:tblHeader/>
        </w:trPr>
        <w:tc>
          <w:tcPr>
            <w:tcW w:w="3109" w:type="dxa"/>
            <w:tcBorders>
              <w:top w:val="single" w:sz="8" w:space="0" w:color="000000"/>
              <w:left w:val="single" w:sz="8" w:space="0" w:color="000000"/>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18B203AE" w14:textId="098A61D3" w:rsidR="00987C9F" w:rsidRPr="00987C9F" w:rsidRDefault="00987C9F" w:rsidP="00987C9F">
            <w:pPr>
              <w:jc w:val="both"/>
              <w:rPr>
                <w:rFonts w:ascii="Arial" w:hAnsi="Arial" w:cs="Arial"/>
                <w:b/>
                <w:bCs/>
              </w:rPr>
            </w:pPr>
            <w:r w:rsidRPr="007C0D4A">
              <w:rPr>
                <w:rFonts w:ascii="Arial" w:hAnsi="Arial" w:cs="Arial"/>
                <w:b/>
                <w:bCs/>
              </w:rPr>
              <w:t xml:space="preserve">Por </w:t>
            </w:r>
            <w:r w:rsidR="007C0D4A">
              <w:rPr>
                <w:rFonts w:ascii="Arial" w:hAnsi="Arial" w:cs="Arial"/>
                <w:b/>
                <w:bCs/>
              </w:rPr>
              <w:t>Segmento de Negocio</w:t>
            </w:r>
          </w:p>
        </w:tc>
        <w:tc>
          <w:tcPr>
            <w:tcW w:w="5709" w:type="dxa"/>
            <w:gridSpan w:val="3"/>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0043D73F" w14:textId="53B6DF83" w:rsidR="00987C9F" w:rsidRPr="00987C9F" w:rsidRDefault="00987C9F" w:rsidP="00987C9F">
            <w:pPr>
              <w:jc w:val="both"/>
              <w:rPr>
                <w:rFonts w:ascii="Arial" w:hAnsi="Arial" w:cs="Arial"/>
              </w:rPr>
            </w:pPr>
            <w:r w:rsidRPr="00987C9F">
              <w:rPr>
                <w:rFonts w:ascii="Arial" w:hAnsi="Arial" w:cs="Arial"/>
                <w:b/>
                <w:bCs/>
              </w:rPr>
              <w:t>EBIT A</w:t>
            </w:r>
            <w:r w:rsidRPr="002A714F">
              <w:rPr>
                <w:rFonts w:ascii="Arial" w:hAnsi="Arial" w:cs="Arial"/>
                <w:b/>
                <w:bCs/>
              </w:rPr>
              <w:t>justado</w:t>
            </w:r>
          </w:p>
        </w:tc>
      </w:tr>
      <w:tr w:rsidR="00987C9F" w:rsidRPr="00987C9F" w14:paraId="3FD31C03" w14:textId="77777777" w:rsidTr="007C0D4A">
        <w:trPr>
          <w:trHeight w:val="675"/>
        </w:trPr>
        <w:tc>
          <w:tcPr>
            <w:tcW w:w="3109"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7070F977" w14:textId="44AF8577" w:rsidR="00987C9F" w:rsidRPr="00987C9F" w:rsidRDefault="00987C9F" w:rsidP="007C0D4A">
            <w:pPr>
              <w:rPr>
                <w:rFonts w:ascii="Arial" w:hAnsi="Arial" w:cs="Arial"/>
              </w:rPr>
            </w:pPr>
            <w:r w:rsidRPr="00987C9F">
              <w:rPr>
                <w:rFonts w:ascii="Arial" w:hAnsi="Arial" w:cs="Arial"/>
              </w:rPr>
              <w:t>(</w:t>
            </w:r>
            <w:r w:rsidR="007C0D4A">
              <w:rPr>
                <w:rFonts w:ascii="Arial" w:hAnsi="Arial" w:cs="Arial"/>
              </w:rPr>
              <w:t xml:space="preserve">Montos </w:t>
            </w:r>
            <w:r w:rsidRPr="002A714F">
              <w:rPr>
                <w:rFonts w:ascii="Arial" w:hAnsi="Arial" w:cs="Arial"/>
              </w:rPr>
              <w:t>en millones de</w:t>
            </w:r>
            <w:r w:rsidRPr="00987C9F">
              <w:rPr>
                <w:rFonts w:ascii="Arial" w:hAnsi="Arial" w:cs="Arial"/>
              </w:rPr>
              <w:t xml:space="preserve"> Euro</w:t>
            </w:r>
            <w:r w:rsidRPr="002A714F">
              <w:rPr>
                <w:rFonts w:ascii="Arial" w:hAnsi="Arial" w:cs="Arial"/>
              </w:rPr>
              <w:t>s</w:t>
            </w:r>
            <w:r w:rsidRPr="00987C9F">
              <w:rPr>
                <w:rFonts w:ascii="Arial" w:hAnsi="Arial" w:cs="Arial"/>
              </w:rPr>
              <w:t>)</w:t>
            </w:r>
          </w:p>
        </w:tc>
        <w:tc>
          <w:tcPr>
            <w:tcW w:w="131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91F2CFD" w14:textId="77777777" w:rsidR="00987C9F" w:rsidRPr="00987C9F" w:rsidRDefault="00987C9F" w:rsidP="00987C9F">
            <w:pPr>
              <w:jc w:val="both"/>
              <w:rPr>
                <w:rFonts w:ascii="Arial" w:hAnsi="Arial" w:cs="Arial"/>
              </w:rPr>
            </w:pPr>
            <w:r w:rsidRPr="00987C9F">
              <w:rPr>
                <w:rFonts w:ascii="Arial" w:hAnsi="Arial" w:cs="Arial"/>
                <w:b/>
                <w:bCs/>
              </w:rPr>
              <w:t>H1 2023</w:t>
            </w:r>
          </w:p>
        </w:tc>
        <w:tc>
          <w:tcPr>
            <w:tcW w:w="2193"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7C0DA8F8" w14:textId="77777777" w:rsidR="00987C9F" w:rsidRPr="00987C9F" w:rsidRDefault="00987C9F" w:rsidP="00987C9F">
            <w:pPr>
              <w:jc w:val="both"/>
              <w:rPr>
                <w:rFonts w:ascii="Arial" w:hAnsi="Arial" w:cs="Arial"/>
              </w:rPr>
            </w:pPr>
            <w:r w:rsidRPr="00987C9F">
              <w:rPr>
                <w:rFonts w:ascii="Arial" w:hAnsi="Arial" w:cs="Arial"/>
              </w:rPr>
              <w:t>H1 2022</w:t>
            </w:r>
          </w:p>
        </w:tc>
        <w:tc>
          <w:tcPr>
            <w:tcW w:w="2206"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331821BD" w14:textId="0B03B498" w:rsidR="00987C9F" w:rsidRPr="00987C9F" w:rsidRDefault="00987C9F" w:rsidP="00987C9F">
            <w:pPr>
              <w:jc w:val="both"/>
              <w:rPr>
                <w:rFonts w:ascii="Arial" w:hAnsi="Arial" w:cs="Arial"/>
              </w:rPr>
            </w:pPr>
            <w:r w:rsidRPr="00987C9F">
              <w:rPr>
                <w:rFonts w:ascii="Arial" w:hAnsi="Arial" w:cs="Arial"/>
              </w:rPr>
              <w:t>C</w:t>
            </w:r>
            <w:r w:rsidR="007C0D4A">
              <w:rPr>
                <w:rFonts w:ascii="Arial" w:hAnsi="Arial" w:cs="Arial"/>
              </w:rPr>
              <w:t>ambio</w:t>
            </w:r>
          </w:p>
        </w:tc>
      </w:tr>
      <w:tr w:rsidR="00987C9F" w:rsidRPr="00987C9F" w14:paraId="536C556B" w14:textId="77777777" w:rsidTr="007C0D4A">
        <w:trPr>
          <w:trHeight w:val="390"/>
        </w:trPr>
        <w:tc>
          <w:tcPr>
            <w:tcW w:w="3109"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20E67C74" w14:textId="77777777" w:rsidR="00987C9F" w:rsidRPr="00987C9F" w:rsidRDefault="00987C9F" w:rsidP="007C0D4A">
            <w:pPr>
              <w:rPr>
                <w:rFonts w:ascii="Arial" w:hAnsi="Arial" w:cs="Arial"/>
              </w:rPr>
            </w:pPr>
            <w:r w:rsidRPr="00987C9F">
              <w:rPr>
                <w:rFonts w:ascii="Arial" w:hAnsi="Arial" w:cs="Arial"/>
              </w:rPr>
              <w:t>Airbus</w:t>
            </w:r>
          </w:p>
        </w:tc>
        <w:tc>
          <w:tcPr>
            <w:tcW w:w="131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45412E0E" w14:textId="77777777" w:rsidR="00987C9F" w:rsidRPr="00987C9F" w:rsidRDefault="00987C9F" w:rsidP="00987C9F">
            <w:pPr>
              <w:jc w:val="both"/>
              <w:rPr>
                <w:rFonts w:ascii="Arial" w:hAnsi="Arial" w:cs="Arial"/>
              </w:rPr>
            </w:pPr>
            <w:r w:rsidRPr="00987C9F">
              <w:rPr>
                <w:rFonts w:ascii="Arial" w:hAnsi="Arial" w:cs="Arial"/>
                <w:b/>
                <w:bCs/>
              </w:rPr>
              <w:t>2,256</w:t>
            </w:r>
          </w:p>
        </w:tc>
        <w:tc>
          <w:tcPr>
            <w:tcW w:w="2193"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7090A699" w14:textId="77777777" w:rsidR="00987C9F" w:rsidRPr="00987C9F" w:rsidRDefault="00987C9F" w:rsidP="00987C9F">
            <w:pPr>
              <w:jc w:val="both"/>
              <w:rPr>
                <w:rFonts w:ascii="Arial" w:hAnsi="Arial" w:cs="Arial"/>
              </w:rPr>
            </w:pPr>
            <w:r w:rsidRPr="00987C9F">
              <w:rPr>
                <w:rFonts w:ascii="Arial" w:hAnsi="Arial" w:cs="Arial"/>
              </w:rPr>
              <w:t>2,276</w:t>
            </w:r>
          </w:p>
        </w:tc>
        <w:tc>
          <w:tcPr>
            <w:tcW w:w="2206"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785441C7" w14:textId="77777777" w:rsidR="00987C9F" w:rsidRPr="00987C9F" w:rsidRDefault="00987C9F" w:rsidP="00987C9F">
            <w:pPr>
              <w:jc w:val="both"/>
              <w:rPr>
                <w:rFonts w:ascii="Arial" w:hAnsi="Arial" w:cs="Arial"/>
              </w:rPr>
            </w:pPr>
            <w:r w:rsidRPr="00987C9F">
              <w:rPr>
                <w:rFonts w:ascii="Arial" w:hAnsi="Arial" w:cs="Arial"/>
              </w:rPr>
              <w:t>-1%</w:t>
            </w:r>
          </w:p>
        </w:tc>
      </w:tr>
      <w:tr w:rsidR="00987C9F" w:rsidRPr="00987C9F" w14:paraId="3A1D2970" w14:textId="77777777" w:rsidTr="007C0D4A">
        <w:trPr>
          <w:trHeight w:val="420"/>
        </w:trPr>
        <w:tc>
          <w:tcPr>
            <w:tcW w:w="3109"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7E15D9E3" w14:textId="77777777" w:rsidR="00987C9F" w:rsidRPr="00987C9F" w:rsidRDefault="00987C9F" w:rsidP="007C0D4A">
            <w:pPr>
              <w:rPr>
                <w:rFonts w:ascii="Arial" w:hAnsi="Arial" w:cs="Arial"/>
              </w:rPr>
            </w:pPr>
            <w:r w:rsidRPr="00987C9F">
              <w:rPr>
                <w:rFonts w:ascii="Arial" w:hAnsi="Arial" w:cs="Arial"/>
              </w:rPr>
              <w:t>Airbus Helicopters</w:t>
            </w:r>
          </w:p>
        </w:tc>
        <w:tc>
          <w:tcPr>
            <w:tcW w:w="131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2754C883" w14:textId="77777777" w:rsidR="00987C9F" w:rsidRPr="00987C9F" w:rsidRDefault="00987C9F" w:rsidP="00987C9F">
            <w:pPr>
              <w:jc w:val="both"/>
              <w:rPr>
                <w:rFonts w:ascii="Arial" w:hAnsi="Arial" w:cs="Arial"/>
              </w:rPr>
            </w:pPr>
            <w:r w:rsidRPr="00987C9F">
              <w:rPr>
                <w:rFonts w:ascii="Arial" w:hAnsi="Arial" w:cs="Arial"/>
                <w:b/>
                <w:bCs/>
              </w:rPr>
              <w:t>274</w:t>
            </w:r>
          </w:p>
        </w:tc>
        <w:tc>
          <w:tcPr>
            <w:tcW w:w="2193"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7A9D048E" w14:textId="77777777" w:rsidR="00987C9F" w:rsidRPr="00987C9F" w:rsidRDefault="00987C9F" w:rsidP="00987C9F">
            <w:pPr>
              <w:jc w:val="both"/>
              <w:rPr>
                <w:rFonts w:ascii="Arial" w:hAnsi="Arial" w:cs="Arial"/>
              </w:rPr>
            </w:pPr>
            <w:r w:rsidRPr="00987C9F">
              <w:rPr>
                <w:rFonts w:ascii="Arial" w:hAnsi="Arial" w:cs="Arial"/>
              </w:rPr>
              <w:t>215</w:t>
            </w:r>
          </w:p>
        </w:tc>
        <w:tc>
          <w:tcPr>
            <w:tcW w:w="2206"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74C4B9EA" w14:textId="77777777" w:rsidR="00987C9F" w:rsidRPr="00987C9F" w:rsidRDefault="00987C9F" w:rsidP="00987C9F">
            <w:pPr>
              <w:jc w:val="both"/>
              <w:rPr>
                <w:rFonts w:ascii="Arial" w:hAnsi="Arial" w:cs="Arial"/>
              </w:rPr>
            </w:pPr>
            <w:r w:rsidRPr="00987C9F">
              <w:rPr>
                <w:rFonts w:ascii="Arial" w:hAnsi="Arial" w:cs="Arial"/>
              </w:rPr>
              <w:t>+27%</w:t>
            </w:r>
          </w:p>
        </w:tc>
      </w:tr>
      <w:tr w:rsidR="00987C9F" w:rsidRPr="00987C9F" w14:paraId="05F6184C" w14:textId="77777777" w:rsidTr="007C0D4A">
        <w:trPr>
          <w:trHeight w:val="600"/>
        </w:trPr>
        <w:tc>
          <w:tcPr>
            <w:tcW w:w="3109"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0BCB8907" w14:textId="77777777" w:rsidR="00987C9F" w:rsidRPr="00987C9F" w:rsidRDefault="00987C9F" w:rsidP="007C0D4A">
            <w:pPr>
              <w:rPr>
                <w:rFonts w:ascii="Arial" w:hAnsi="Arial" w:cs="Arial"/>
              </w:rPr>
            </w:pPr>
            <w:r w:rsidRPr="00987C9F">
              <w:rPr>
                <w:rFonts w:ascii="Arial" w:hAnsi="Arial" w:cs="Arial"/>
              </w:rPr>
              <w:t>Airbus Defence and Space</w:t>
            </w:r>
          </w:p>
        </w:tc>
        <w:tc>
          <w:tcPr>
            <w:tcW w:w="131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1A549522" w14:textId="77777777" w:rsidR="00987C9F" w:rsidRPr="00987C9F" w:rsidRDefault="00987C9F" w:rsidP="00987C9F">
            <w:pPr>
              <w:jc w:val="both"/>
              <w:rPr>
                <w:rFonts w:ascii="Arial" w:hAnsi="Arial" w:cs="Arial"/>
              </w:rPr>
            </w:pPr>
            <w:r w:rsidRPr="00987C9F">
              <w:rPr>
                <w:rFonts w:ascii="Arial" w:hAnsi="Arial" w:cs="Arial"/>
                <w:b/>
                <w:bCs/>
              </w:rPr>
              <w:t>78</w:t>
            </w:r>
          </w:p>
        </w:tc>
        <w:tc>
          <w:tcPr>
            <w:tcW w:w="2193"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39E9E6AF" w14:textId="77777777" w:rsidR="00987C9F" w:rsidRPr="00987C9F" w:rsidRDefault="00987C9F" w:rsidP="00987C9F">
            <w:pPr>
              <w:jc w:val="both"/>
              <w:rPr>
                <w:rFonts w:ascii="Arial" w:hAnsi="Arial" w:cs="Arial"/>
              </w:rPr>
            </w:pPr>
            <w:r w:rsidRPr="00987C9F">
              <w:rPr>
                <w:rFonts w:ascii="Arial" w:hAnsi="Arial" w:cs="Arial"/>
              </w:rPr>
              <w:t>155</w:t>
            </w:r>
          </w:p>
        </w:tc>
        <w:tc>
          <w:tcPr>
            <w:tcW w:w="2206"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5D439D4A" w14:textId="77777777" w:rsidR="00987C9F" w:rsidRPr="00987C9F" w:rsidRDefault="00987C9F" w:rsidP="00987C9F">
            <w:pPr>
              <w:jc w:val="both"/>
              <w:rPr>
                <w:rFonts w:ascii="Arial" w:hAnsi="Arial" w:cs="Arial"/>
              </w:rPr>
            </w:pPr>
            <w:r w:rsidRPr="00987C9F">
              <w:rPr>
                <w:rFonts w:ascii="Arial" w:hAnsi="Arial" w:cs="Arial"/>
              </w:rPr>
              <w:t>-50%</w:t>
            </w:r>
          </w:p>
        </w:tc>
      </w:tr>
      <w:tr w:rsidR="00987C9F" w:rsidRPr="00987C9F" w14:paraId="1D30A31B" w14:textId="77777777" w:rsidTr="007C0D4A">
        <w:trPr>
          <w:trHeight w:val="390"/>
        </w:trPr>
        <w:tc>
          <w:tcPr>
            <w:tcW w:w="3109"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4D0ECB1D" w14:textId="71F3CABD" w:rsidR="00987C9F" w:rsidRPr="00987C9F" w:rsidRDefault="00987C9F" w:rsidP="007C0D4A">
            <w:pPr>
              <w:rPr>
                <w:rFonts w:ascii="Arial" w:hAnsi="Arial" w:cs="Arial"/>
              </w:rPr>
            </w:pPr>
            <w:r w:rsidRPr="00987C9F">
              <w:rPr>
                <w:rFonts w:ascii="Arial" w:hAnsi="Arial" w:cs="Arial"/>
              </w:rPr>
              <w:t>Elimina</w:t>
            </w:r>
            <w:r w:rsidRPr="002A714F">
              <w:rPr>
                <w:rFonts w:ascii="Arial" w:hAnsi="Arial" w:cs="Arial"/>
              </w:rPr>
              <w:t xml:space="preserve">ciones </w:t>
            </w:r>
          </w:p>
        </w:tc>
        <w:tc>
          <w:tcPr>
            <w:tcW w:w="131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4B92F785" w14:textId="77777777" w:rsidR="00987C9F" w:rsidRPr="00987C9F" w:rsidRDefault="00987C9F" w:rsidP="00987C9F">
            <w:pPr>
              <w:jc w:val="both"/>
              <w:rPr>
                <w:rFonts w:ascii="Arial" w:hAnsi="Arial" w:cs="Arial"/>
              </w:rPr>
            </w:pPr>
            <w:r w:rsidRPr="00987C9F">
              <w:rPr>
                <w:rFonts w:ascii="Arial" w:hAnsi="Arial" w:cs="Arial"/>
                <w:b/>
                <w:bCs/>
              </w:rPr>
              <w:t>10</w:t>
            </w:r>
          </w:p>
        </w:tc>
        <w:tc>
          <w:tcPr>
            <w:tcW w:w="2193"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602E76F1" w14:textId="77777777" w:rsidR="00987C9F" w:rsidRPr="00987C9F" w:rsidRDefault="00987C9F" w:rsidP="00987C9F">
            <w:pPr>
              <w:jc w:val="both"/>
              <w:rPr>
                <w:rFonts w:ascii="Arial" w:hAnsi="Arial" w:cs="Arial"/>
              </w:rPr>
            </w:pPr>
            <w:r w:rsidRPr="00987C9F">
              <w:rPr>
                <w:rFonts w:ascii="Arial" w:hAnsi="Arial" w:cs="Arial"/>
              </w:rPr>
              <w:t>-1</w:t>
            </w:r>
          </w:p>
        </w:tc>
        <w:tc>
          <w:tcPr>
            <w:tcW w:w="2206"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7195DC48" w14:textId="77777777" w:rsidR="00987C9F" w:rsidRPr="00987C9F" w:rsidRDefault="00987C9F" w:rsidP="00987C9F">
            <w:pPr>
              <w:jc w:val="both"/>
              <w:rPr>
                <w:rFonts w:ascii="Arial" w:hAnsi="Arial" w:cs="Arial"/>
              </w:rPr>
            </w:pPr>
            <w:r w:rsidRPr="00987C9F">
              <w:rPr>
                <w:rFonts w:ascii="Arial" w:hAnsi="Arial" w:cs="Arial"/>
              </w:rPr>
              <w:t>-</w:t>
            </w:r>
          </w:p>
        </w:tc>
      </w:tr>
      <w:tr w:rsidR="00987C9F" w:rsidRPr="00987C9F" w14:paraId="330DAFBE" w14:textId="77777777" w:rsidTr="007C0D4A">
        <w:trPr>
          <w:trHeight w:val="330"/>
        </w:trPr>
        <w:tc>
          <w:tcPr>
            <w:tcW w:w="3109" w:type="dxa"/>
            <w:tcBorders>
              <w:top w:val="nil"/>
              <w:left w:val="single" w:sz="8" w:space="0" w:color="000000"/>
              <w:bottom w:val="single" w:sz="8" w:space="0" w:color="000000"/>
              <w:right w:val="single" w:sz="8" w:space="0" w:color="000000"/>
            </w:tcBorders>
            <w:tcMar>
              <w:top w:w="105" w:type="dxa"/>
              <w:left w:w="105" w:type="dxa"/>
              <w:bottom w:w="105" w:type="dxa"/>
              <w:right w:w="105" w:type="dxa"/>
            </w:tcMar>
            <w:vAlign w:val="center"/>
            <w:hideMark/>
          </w:tcPr>
          <w:p w14:paraId="6DEDFA7A" w14:textId="77777777" w:rsidR="00987C9F" w:rsidRPr="00987C9F" w:rsidRDefault="00987C9F" w:rsidP="00987C9F">
            <w:pPr>
              <w:jc w:val="both"/>
              <w:rPr>
                <w:rFonts w:ascii="Arial" w:hAnsi="Arial" w:cs="Arial"/>
              </w:rPr>
            </w:pPr>
            <w:r w:rsidRPr="00987C9F">
              <w:rPr>
                <w:rFonts w:ascii="Arial" w:hAnsi="Arial" w:cs="Arial"/>
                <w:b/>
                <w:bCs/>
              </w:rPr>
              <w:t>Total</w:t>
            </w:r>
          </w:p>
        </w:tc>
        <w:tc>
          <w:tcPr>
            <w:tcW w:w="1310"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5DAF18F3" w14:textId="77777777" w:rsidR="00987C9F" w:rsidRPr="00987C9F" w:rsidRDefault="00987C9F" w:rsidP="00987C9F">
            <w:pPr>
              <w:jc w:val="both"/>
              <w:rPr>
                <w:rFonts w:ascii="Arial" w:hAnsi="Arial" w:cs="Arial"/>
              </w:rPr>
            </w:pPr>
            <w:r w:rsidRPr="00987C9F">
              <w:rPr>
                <w:rFonts w:ascii="Arial" w:hAnsi="Arial" w:cs="Arial"/>
                <w:b/>
                <w:bCs/>
              </w:rPr>
              <w:t>2,618</w:t>
            </w:r>
          </w:p>
        </w:tc>
        <w:tc>
          <w:tcPr>
            <w:tcW w:w="2193"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215CFB38" w14:textId="77777777" w:rsidR="00987C9F" w:rsidRPr="00987C9F" w:rsidRDefault="00987C9F" w:rsidP="00987C9F">
            <w:pPr>
              <w:jc w:val="both"/>
              <w:rPr>
                <w:rFonts w:ascii="Arial" w:hAnsi="Arial" w:cs="Arial"/>
              </w:rPr>
            </w:pPr>
            <w:r w:rsidRPr="00987C9F">
              <w:rPr>
                <w:rFonts w:ascii="Arial" w:hAnsi="Arial" w:cs="Arial"/>
              </w:rPr>
              <w:t>2,645</w:t>
            </w:r>
          </w:p>
        </w:tc>
        <w:tc>
          <w:tcPr>
            <w:tcW w:w="2206" w:type="dxa"/>
            <w:tcBorders>
              <w:top w:val="nil"/>
              <w:left w:val="nil"/>
              <w:bottom w:val="single" w:sz="8" w:space="0" w:color="000000"/>
              <w:right w:val="single" w:sz="8" w:space="0" w:color="000000"/>
            </w:tcBorders>
            <w:tcMar>
              <w:top w:w="105" w:type="dxa"/>
              <w:left w:w="105" w:type="dxa"/>
              <w:bottom w:w="105" w:type="dxa"/>
              <w:right w:w="105" w:type="dxa"/>
            </w:tcMar>
            <w:vAlign w:val="center"/>
            <w:hideMark/>
          </w:tcPr>
          <w:p w14:paraId="071E5E20" w14:textId="77777777" w:rsidR="00987C9F" w:rsidRPr="00987C9F" w:rsidRDefault="00987C9F" w:rsidP="00987C9F">
            <w:pPr>
              <w:jc w:val="both"/>
              <w:rPr>
                <w:rFonts w:ascii="Arial" w:hAnsi="Arial" w:cs="Arial"/>
              </w:rPr>
            </w:pPr>
            <w:r w:rsidRPr="00987C9F">
              <w:rPr>
                <w:rFonts w:ascii="Arial" w:hAnsi="Arial" w:cs="Arial"/>
              </w:rPr>
              <w:t>-1%</w:t>
            </w:r>
          </w:p>
        </w:tc>
      </w:tr>
    </w:tbl>
    <w:p w14:paraId="621843E1" w14:textId="77777777" w:rsidR="00987C9F" w:rsidRPr="002A714F" w:rsidRDefault="00987C9F" w:rsidP="000D769F">
      <w:pPr>
        <w:jc w:val="both"/>
        <w:rPr>
          <w:rFonts w:ascii="Arial" w:hAnsi="Arial" w:cs="Arial"/>
        </w:rPr>
      </w:pPr>
    </w:p>
    <w:tbl>
      <w:tblPr>
        <w:tblW w:w="8818" w:type="dxa"/>
        <w:tblCellMar>
          <w:left w:w="0" w:type="dxa"/>
          <w:right w:w="0" w:type="dxa"/>
        </w:tblCellMar>
        <w:tblLook w:val="04A0" w:firstRow="1" w:lastRow="0" w:firstColumn="1" w:lastColumn="0" w:noHBand="0" w:noVBand="1"/>
      </w:tblPr>
      <w:tblGrid>
        <w:gridCol w:w="2258"/>
        <w:gridCol w:w="1062"/>
        <w:gridCol w:w="1089"/>
        <w:gridCol w:w="969"/>
        <w:gridCol w:w="1228"/>
        <w:gridCol w:w="1211"/>
        <w:gridCol w:w="1001"/>
      </w:tblGrid>
      <w:tr w:rsidR="00987C9F" w:rsidRPr="002A714F" w14:paraId="0BA30E29" w14:textId="77777777" w:rsidTr="007C0D4A">
        <w:trPr>
          <w:trHeight w:val="270"/>
        </w:trPr>
        <w:tc>
          <w:tcPr>
            <w:tcW w:w="2258" w:type="dxa"/>
            <w:tcBorders>
              <w:top w:val="single" w:sz="8" w:space="0" w:color="000000"/>
              <w:left w:val="single" w:sz="8" w:space="0" w:color="000000"/>
              <w:bottom w:val="single" w:sz="8" w:space="0" w:color="000000"/>
              <w:right w:val="single" w:sz="8" w:space="0" w:color="000000"/>
            </w:tcBorders>
            <w:shd w:val="clear" w:color="auto" w:fill="CFE2F3"/>
            <w:tcMar>
              <w:top w:w="105" w:type="dxa"/>
              <w:left w:w="105" w:type="dxa"/>
              <w:bottom w:w="105" w:type="dxa"/>
              <w:right w:w="105" w:type="dxa"/>
            </w:tcMar>
            <w:hideMark/>
          </w:tcPr>
          <w:p w14:paraId="1714A9CE" w14:textId="6139881B" w:rsidR="00987C9F" w:rsidRPr="007C0D4A" w:rsidRDefault="007C0D4A">
            <w:pPr>
              <w:rPr>
                <w:rFonts w:ascii="Arial" w:hAnsi="Arial" w:cs="Arial"/>
                <w:b/>
                <w:bCs/>
                <w:color w:val="000000"/>
              </w:rPr>
            </w:pPr>
            <w:r>
              <w:rPr>
                <w:rFonts w:ascii="Arial" w:hAnsi="Arial" w:cs="Arial"/>
                <w:b/>
                <w:bCs/>
                <w:color w:val="000000"/>
              </w:rPr>
              <w:t>Por Segmento de Negocio</w:t>
            </w:r>
          </w:p>
        </w:tc>
        <w:tc>
          <w:tcPr>
            <w:tcW w:w="3120" w:type="dxa"/>
            <w:gridSpan w:val="3"/>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hideMark/>
          </w:tcPr>
          <w:p w14:paraId="0EC2FD29" w14:textId="52EFF86B" w:rsidR="00987C9F" w:rsidRPr="002A714F" w:rsidRDefault="00987C9F">
            <w:pPr>
              <w:rPr>
                <w:rFonts w:ascii="Arial" w:hAnsi="Arial" w:cs="Arial"/>
                <w:color w:val="000000"/>
              </w:rPr>
            </w:pPr>
            <w:r w:rsidRPr="002A714F">
              <w:rPr>
                <w:rFonts w:ascii="Arial" w:hAnsi="Arial" w:cs="Arial"/>
                <w:b/>
                <w:bCs/>
                <w:color w:val="000000"/>
              </w:rPr>
              <w:t>Ingreso de pedidos (neto)</w:t>
            </w:r>
          </w:p>
        </w:tc>
        <w:tc>
          <w:tcPr>
            <w:tcW w:w="3440" w:type="dxa"/>
            <w:gridSpan w:val="3"/>
            <w:tcBorders>
              <w:top w:val="single" w:sz="8" w:space="0" w:color="000000"/>
              <w:left w:val="nil"/>
              <w:bottom w:val="single" w:sz="8" w:space="0" w:color="000000"/>
              <w:right w:val="single" w:sz="8" w:space="0" w:color="000000"/>
            </w:tcBorders>
            <w:shd w:val="clear" w:color="auto" w:fill="CFE2F3"/>
            <w:tcMar>
              <w:top w:w="105" w:type="dxa"/>
              <w:left w:w="105" w:type="dxa"/>
              <w:bottom w:w="105" w:type="dxa"/>
              <w:right w:w="105" w:type="dxa"/>
            </w:tcMar>
            <w:hideMark/>
          </w:tcPr>
          <w:p w14:paraId="6976BFA5" w14:textId="2464A1A8" w:rsidR="00987C9F" w:rsidRPr="007C0D4A" w:rsidRDefault="00987C9F">
            <w:pPr>
              <w:rPr>
                <w:rFonts w:ascii="Arial" w:hAnsi="Arial" w:cs="Arial"/>
                <w:b/>
                <w:bCs/>
                <w:color w:val="000000"/>
              </w:rPr>
            </w:pPr>
            <w:r w:rsidRPr="007C0D4A">
              <w:rPr>
                <w:rFonts w:ascii="Arial" w:hAnsi="Arial" w:cs="Arial"/>
                <w:b/>
                <w:bCs/>
                <w:color w:val="000000"/>
              </w:rPr>
              <w:t>Libro de pedidos</w:t>
            </w:r>
          </w:p>
        </w:tc>
      </w:tr>
      <w:tr w:rsidR="002A714F" w:rsidRPr="002A714F" w14:paraId="7480C920" w14:textId="77777777" w:rsidTr="007C0D4A">
        <w:trPr>
          <w:trHeight w:val="345"/>
        </w:trPr>
        <w:tc>
          <w:tcPr>
            <w:tcW w:w="2258" w:type="dxa"/>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14:paraId="0962FFFB" w14:textId="77777777" w:rsidR="00987C9F" w:rsidRPr="002A714F" w:rsidRDefault="00987C9F">
            <w:pPr>
              <w:rPr>
                <w:rFonts w:ascii="Arial" w:hAnsi="Arial" w:cs="Arial"/>
                <w:color w:val="000000"/>
              </w:rPr>
            </w:pPr>
            <w:r w:rsidRPr="002A714F">
              <w:rPr>
                <w:rFonts w:ascii="Arial" w:hAnsi="Arial" w:cs="Arial"/>
                <w:color w:val="000000"/>
              </w:rPr>
              <w:br/>
              <w:t> </w:t>
            </w:r>
          </w:p>
        </w:tc>
        <w:tc>
          <w:tcPr>
            <w:tcW w:w="1062"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60305CB" w14:textId="77777777" w:rsidR="00987C9F" w:rsidRPr="002A714F" w:rsidRDefault="00987C9F">
            <w:pPr>
              <w:rPr>
                <w:rFonts w:ascii="Arial" w:hAnsi="Arial" w:cs="Arial"/>
                <w:color w:val="000000"/>
              </w:rPr>
            </w:pPr>
            <w:r w:rsidRPr="002A714F">
              <w:rPr>
                <w:rFonts w:ascii="Arial" w:hAnsi="Arial" w:cs="Arial"/>
                <w:b/>
                <w:bCs/>
                <w:color w:val="000000"/>
              </w:rPr>
              <w:t>H1 2023</w:t>
            </w:r>
          </w:p>
        </w:tc>
        <w:tc>
          <w:tcPr>
            <w:tcW w:w="1089"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2D020CC5" w14:textId="77777777" w:rsidR="00987C9F" w:rsidRPr="002A714F" w:rsidRDefault="00987C9F">
            <w:pPr>
              <w:rPr>
                <w:rFonts w:ascii="Arial" w:hAnsi="Arial" w:cs="Arial"/>
                <w:color w:val="000000"/>
              </w:rPr>
            </w:pPr>
            <w:r w:rsidRPr="002A714F">
              <w:rPr>
                <w:rFonts w:ascii="Arial" w:hAnsi="Arial" w:cs="Arial"/>
                <w:color w:val="000000"/>
              </w:rPr>
              <w:t>H1 2022</w:t>
            </w:r>
          </w:p>
        </w:tc>
        <w:tc>
          <w:tcPr>
            <w:tcW w:w="969"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2B0BB1B" w14:textId="03401E37" w:rsidR="00987C9F" w:rsidRPr="002A714F" w:rsidRDefault="00987C9F">
            <w:pPr>
              <w:rPr>
                <w:rFonts w:ascii="Arial" w:hAnsi="Arial" w:cs="Arial"/>
                <w:color w:val="000000"/>
              </w:rPr>
            </w:pPr>
            <w:r w:rsidRPr="002A714F">
              <w:rPr>
                <w:rFonts w:ascii="Arial" w:hAnsi="Arial" w:cs="Arial"/>
                <w:color w:val="000000"/>
              </w:rPr>
              <w:t>Cambio</w:t>
            </w:r>
          </w:p>
        </w:tc>
        <w:tc>
          <w:tcPr>
            <w:tcW w:w="1228"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1106D6F9" w14:textId="1D8BBC8A" w:rsidR="00987C9F" w:rsidRPr="002A714F" w:rsidRDefault="00987C9F">
            <w:pPr>
              <w:rPr>
                <w:rFonts w:ascii="Arial" w:hAnsi="Arial" w:cs="Arial"/>
                <w:color w:val="000000"/>
              </w:rPr>
            </w:pPr>
            <w:r w:rsidRPr="002A714F">
              <w:rPr>
                <w:rFonts w:ascii="Arial" w:hAnsi="Arial" w:cs="Arial"/>
                <w:b/>
                <w:bCs/>
                <w:color w:val="000000"/>
              </w:rPr>
              <w:t>30 Junio 2023</w:t>
            </w:r>
          </w:p>
        </w:tc>
        <w:tc>
          <w:tcPr>
            <w:tcW w:w="1211"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E71D1F8" w14:textId="3423668B" w:rsidR="00987C9F" w:rsidRPr="002A714F" w:rsidRDefault="00987C9F">
            <w:pPr>
              <w:rPr>
                <w:rFonts w:ascii="Arial" w:hAnsi="Arial" w:cs="Arial"/>
                <w:color w:val="000000"/>
              </w:rPr>
            </w:pPr>
            <w:r w:rsidRPr="002A714F">
              <w:rPr>
                <w:rFonts w:ascii="Arial" w:hAnsi="Arial" w:cs="Arial"/>
                <w:color w:val="000000"/>
              </w:rPr>
              <w:t>30 Junio 2022</w:t>
            </w:r>
          </w:p>
        </w:tc>
        <w:tc>
          <w:tcPr>
            <w:tcW w:w="1001"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7F90E3D1" w14:textId="559CB1D7" w:rsidR="00987C9F" w:rsidRPr="002A714F" w:rsidRDefault="00987C9F">
            <w:pPr>
              <w:rPr>
                <w:rFonts w:ascii="Arial" w:hAnsi="Arial" w:cs="Arial"/>
                <w:color w:val="000000"/>
              </w:rPr>
            </w:pPr>
            <w:r w:rsidRPr="002A714F">
              <w:rPr>
                <w:rFonts w:ascii="Arial" w:hAnsi="Arial" w:cs="Arial"/>
                <w:color w:val="000000"/>
              </w:rPr>
              <w:t>Cambio</w:t>
            </w:r>
          </w:p>
        </w:tc>
      </w:tr>
      <w:tr w:rsidR="002A714F" w:rsidRPr="002A714F" w14:paraId="11A6D776" w14:textId="77777777" w:rsidTr="007C0D4A">
        <w:trPr>
          <w:trHeight w:val="180"/>
        </w:trPr>
        <w:tc>
          <w:tcPr>
            <w:tcW w:w="2258"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BB0C8BD" w14:textId="28CC4575" w:rsidR="00987C9F" w:rsidRPr="002A714F" w:rsidRDefault="00987C9F">
            <w:pPr>
              <w:rPr>
                <w:rFonts w:ascii="Arial" w:hAnsi="Arial" w:cs="Arial"/>
                <w:color w:val="000000"/>
              </w:rPr>
            </w:pPr>
            <w:r w:rsidRPr="002A714F">
              <w:rPr>
                <w:rFonts w:ascii="Arial" w:hAnsi="Arial" w:cs="Arial"/>
                <w:color w:val="000000"/>
              </w:rPr>
              <w:lastRenderedPageBreak/>
              <w:t xml:space="preserve">Airbus, </w:t>
            </w:r>
            <w:r w:rsidR="005A442E" w:rsidRPr="002A714F">
              <w:rPr>
                <w:rFonts w:ascii="Arial" w:hAnsi="Arial" w:cs="Arial"/>
                <w:color w:val="000000"/>
              </w:rPr>
              <w:t>en unidades</w:t>
            </w:r>
          </w:p>
        </w:tc>
        <w:tc>
          <w:tcPr>
            <w:tcW w:w="1062"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1811B4BB" w14:textId="77777777" w:rsidR="00987C9F" w:rsidRPr="002A714F" w:rsidRDefault="00987C9F">
            <w:pPr>
              <w:rPr>
                <w:rFonts w:ascii="Arial" w:hAnsi="Arial" w:cs="Arial"/>
                <w:color w:val="000000"/>
              </w:rPr>
            </w:pPr>
            <w:r w:rsidRPr="002A714F">
              <w:rPr>
                <w:rFonts w:ascii="Arial" w:hAnsi="Arial" w:cs="Arial"/>
                <w:b/>
                <w:bCs/>
                <w:color w:val="000000"/>
              </w:rPr>
              <w:t>1,044</w:t>
            </w:r>
          </w:p>
        </w:tc>
        <w:tc>
          <w:tcPr>
            <w:tcW w:w="1089"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7A4F3B01" w14:textId="77777777" w:rsidR="00987C9F" w:rsidRPr="002A714F" w:rsidRDefault="00987C9F">
            <w:pPr>
              <w:rPr>
                <w:rFonts w:ascii="Arial" w:hAnsi="Arial" w:cs="Arial"/>
                <w:color w:val="000000"/>
              </w:rPr>
            </w:pPr>
            <w:r w:rsidRPr="002A714F">
              <w:rPr>
                <w:rFonts w:ascii="Arial" w:hAnsi="Arial" w:cs="Arial"/>
                <w:color w:val="000000"/>
              </w:rPr>
              <w:t>259</w:t>
            </w:r>
          </w:p>
        </w:tc>
        <w:tc>
          <w:tcPr>
            <w:tcW w:w="969"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C9783BB" w14:textId="77777777" w:rsidR="00987C9F" w:rsidRPr="002A714F" w:rsidRDefault="00987C9F">
            <w:pPr>
              <w:rPr>
                <w:rFonts w:ascii="Arial" w:hAnsi="Arial" w:cs="Arial"/>
                <w:color w:val="000000"/>
              </w:rPr>
            </w:pPr>
            <w:r w:rsidRPr="002A714F">
              <w:rPr>
                <w:rFonts w:ascii="Arial" w:hAnsi="Arial" w:cs="Arial"/>
                <w:color w:val="000000"/>
              </w:rPr>
              <w:t>+303%</w:t>
            </w:r>
          </w:p>
        </w:tc>
        <w:tc>
          <w:tcPr>
            <w:tcW w:w="1228"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6BA58C33" w14:textId="77777777" w:rsidR="00987C9F" w:rsidRPr="002A714F" w:rsidRDefault="00987C9F">
            <w:pPr>
              <w:rPr>
                <w:rFonts w:ascii="Arial" w:hAnsi="Arial" w:cs="Arial"/>
                <w:color w:val="000000"/>
              </w:rPr>
            </w:pPr>
            <w:r w:rsidRPr="002A714F">
              <w:rPr>
                <w:rFonts w:ascii="Arial" w:hAnsi="Arial" w:cs="Arial"/>
                <w:b/>
                <w:bCs/>
                <w:color w:val="000000"/>
              </w:rPr>
              <w:t>7,967</w:t>
            </w:r>
          </w:p>
        </w:tc>
        <w:tc>
          <w:tcPr>
            <w:tcW w:w="1211"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4900769D" w14:textId="77777777" w:rsidR="00987C9F" w:rsidRPr="002A714F" w:rsidRDefault="00987C9F">
            <w:pPr>
              <w:rPr>
                <w:rFonts w:ascii="Arial" w:hAnsi="Arial" w:cs="Arial"/>
                <w:color w:val="000000"/>
              </w:rPr>
            </w:pPr>
            <w:r w:rsidRPr="002A714F">
              <w:rPr>
                <w:rFonts w:ascii="Arial" w:hAnsi="Arial" w:cs="Arial"/>
                <w:color w:val="000000"/>
              </w:rPr>
              <w:t>7,046</w:t>
            </w:r>
          </w:p>
        </w:tc>
        <w:tc>
          <w:tcPr>
            <w:tcW w:w="1001"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31D34911" w14:textId="77777777" w:rsidR="00987C9F" w:rsidRPr="002A714F" w:rsidRDefault="00987C9F">
            <w:pPr>
              <w:rPr>
                <w:rFonts w:ascii="Arial" w:hAnsi="Arial" w:cs="Arial"/>
                <w:color w:val="000000"/>
              </w:rPr>
            </w:pPr>
            <w:r w:rsidRPr="002A714F">
              <w:rPr>
                <w:rFonts w:ascii="Arial" w:hAnsi="Arial" w:cs="Arial"/>
                <w:color w:val="000000"/>
              </w:rPr>
              <w:t>+13%</w:t>
            </w:r>
          </w:p>
        </w:tc>
      </w:tr>
      <w:tr w:rsidR="002A714F" w:rsidRPr="002A714F" w14:paraId="3E9E8013" w14:textId="77777777" w:rsidTr="007C0D4A">
        <w:tc>
          <w:tcPr>
            <w:tcW w:w="2258"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8A48BE1" w14:textId="00FF9677" w:rsidR="00987C9F" w:rsidRPr="002A714F" w:rsidRDefault="00987C9F">
            <w:pPr>
              <w:rPr>
                <w:rFonts w:ascii="Arial" w:hAnsi="Arial" w:cs="Arial"/>
                <w:color w:val="000000"/>
              </w:rPr>
            </w:pPr>
            <w:r w:rsidRPr="002A714F">
              <w:rPr>
                <w:rFonts w:ascii="Arial" w:hAnsi="Arial" w:cs="Arial"/>
                <w:color w:val="000000"/>
              </w:rPr>
              <w:t xml:space="preserve">Airbus Helicopters, </w:t>
            </w:r>
            <w:r w:rsidR="005A442E" w:rsidRPr="002A714F">
              <w:rPr>
                <w:rFonts w:ascii="Arial" w:hAnsi="Arial" w:cs="Arial"/>
                <w:color w:val="000000"/>
              </w:rPr>
              <w:t>en unidades</w:t>
            </w:r>
          </w:p>
        </w:tc>
        <w:tc>
          <w:tcPr>
            <w:tcW w:w="1062"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6B97118D" w14:textId="77777777" w:rsidR="00987C9F" w:rsidRPr="002A714F" w:rsidRDefault="00987C9F">
            <w:pPr>
              <w:rPr>
                <w:rFonts w:ascii="Arial" w:hAnsi="Arial" w:cs="Arial"/>
                <w:color w:val="000000"/>
              </w:rPr>
            </w:pPr>
            <w:r w:rsidRPr="002A714F">
              <w:rPr>
                <w:rFonts w:ascii="Arial" w:hAnsi="Arial" w:cs="Arial"/>
                <w:b/>
                <w:bCs/>
                <w:color w:val="000000"/>
              </w:rPr>
              <w:t>131</w:t>
            </w:r>
          </w:p>
        </w:tc>
        <w:tc>
          <w:tcPr>
            <w:tcW w:w="1089"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1D892DC2" w14:textId="77777777" w:rsidR="00987C9F" w:rsidRPr="002A714F" w:rsidRDefault="00987C9F">
            <w:pPr>
              <w:rPr>
                <w:rFonts w:ascii="Arial" w:hAnsi="Arial" w:cs="Arial"/>
                <w:color w:val="000000"/>
              </w:rPr>
            </w:pPr>
            <w:r w:rsidRPr="002A714F">
              <w:rPr>
                <w:rFonts w:ascii="Arial" w:hAnsi="Arial" w:cs="Arial"/>
                <w:color w:val="000000"/>
              </w:rPr>
              <w:t>163</w:t>
            </w:r>
          </w:p>
        </w:tc>
        <w:tc>
          <w:tcPr>
            <w:tcW w:w="969"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32AD35BB" w14:textId="77777777" w:rsidR="00987C9F" w:rsidRPr="002A714F" w:rsidRDefault="00987C9F">
            <w:pPr>
              <w:rPr>
                <w:rFonts w:ascii="Arial" w:hAnsi="Arial" w:cs="Arial"/>
                <w:color w:val="000000"/>
              </w:rPr>
            </w:pPr>
            <w:r w:rsidRPr="002A714F">
              <w:rPr>
                <w:rFonts w:ascii="Arial" w:hAnsi="Arial" w:cs="Arial"/>
                <w:color w:val="000000"/>
              </w:rPr>
              <w:t>-20%</w:t>
            </w:r>
          </w:p>
        </w:tc>
        <w:tc>
          <w:tcPr>
            <w:tcW w:w="1228"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9F32100" w14:textId="77777777" w:rsidR="00987C9F" w:rsidRPr="002A714F" w:rsidRDefault="00987C9F">
            <w:pPr>
              <w:rPr>
                <w:rFonts w:ascii="Arial" w:hAnsi="Arial" w:cs="Arial"/>
                <w:color w:val="000000"/>
              </w:rPr>
            </w:pPr>
            <w:r w:rsidRPr="002A714F">
              <w:rPr>
                <w:rFonts w:ascii="Arial" w:hAnsi="Arial" w:cs="Arial"/>
                <w:b/>
                <w:bCs/>
                <w:color w:val="000000"/>
              </w:rPr>
              <w:t>743</w:t>
            </w:r>
          </w:p>
        </w:tc>
        <w:tc>
          <w:tcPr>
            <w:tcW w:w="1211"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3F45BD37" w14:textId="77777777" w:rsidR="00987C9F" w:rsidRPr="002A714F" w:rsidRDefault="00987C9F">
            <w:pPr>
              <w:rPr>
                <w:rFonts w:ascii="Arial" w:hAnsi="Arial" w:cs="Arial"/>
                <w:color w:val="000000"/>
              </w:rPr>
            </w:pPr>
            <w:r w:rsidRPr="002A714F">
              <w:rPr>
                <w:rFonts w:ascii="Arial" w:hAnsi="Arial" w:cs="Arial"/>
                <w:color w:val="000000"/>
              </w:rPr>
              <w:t>787</w:t>
            </w:r>
          </w:p>
        </w:tc>
        <w:tc>
          <w:tcPr>
            <w:tcW w:w="1001"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7178B401" w14:textId="77777777" w:rsidR="00987C9F" w:rsidRPr="002A714F" w:rsidRDefault="00987C9F">
            <w:pPr>
              <w:rPr>
                <w:rFonts w:ascii="Arial" w:hAnsi="Arial" w:cs="Arial"/>
                <w:color w:val="000000"/>
              </w:rPr>
            </w:pPr>
            <w:r w:rsidRPr="002A714F">
              <w:rPr>
                <w:rFonts w:ascii="Arial" w:hAnsi="Arial" w:cs="Arial"/>
                <w:color w:val="000000"/>
              </w:rPr>
              <w:t>-6%</w:t>
            </w:r>
          </w:p>
        </w:tc>
      </w:tr>
      <w:tr w:rsidR="002A714F" w:rsidRPr="002A714F" w14:paraId="4EF61A36" w14:textId="77777777" w:rsidTr="007C0D4A">
        <w:trPr>
          <w:trHeight w:val="660"/>
        </w:trPr>
        <w:tc>
          <w:tcPr>
            <w:tcW w:w="2258"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1A44087" w14:textId="07ADFE2F" w:rsidR="00987C9F" w:rsidRPr="002A714F" w:rsidRDefault="00987C9F">
            <w:pPr>
              <w:rPr>
                <w:rFonts w:ascii="Arial" w:hAnsi="Arial" w:cs="Arial"/>
                <w:color w:val="000000"/>
              </w:rPr>
            </w:pPr>
            <w:r w:rsidRPr="002A714F">
              <w:rPr>
                <w:rFonts w:ascii="Arial" w:hAnsi="Arial" w:cs="Arial"/>
                <w:color w:val="000000"/>
              </w:rPr>
              <w:t xml:space="preserve">Airbus Defence and Space, </w:t>
            </w:r>
            <w:r w:rsidR="005A442E" w:rsidRPr="002A714F">
              <w:rPr>
                <w:rFonts w:ascii="Arial" w:hAnsi="Arial" w:cs="Arial"/>
                <w:color w:val="000000"/>
              </w:rPr>
              <w:t>en millones de Euros</w:t>
            </w:r>
          </w:p>
        </w:tc>
        <w:tc>
          <w:tcPr>
            <w:tcW w:w="1062"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754C5CE5" w14:textId="77777777" w:rsidR="00987C9F" w:rsidRPr="002A714F" w:rsidRDefault="00987C9F">
            <w:pPr>
              <w:rPr>
                <w:rFonts w:ascii="Arial" w:hAnsi="Arial" w:cs="Arial"/>
                <w:color w:val="000000"/>
              </w:rPr>
            </w:pPr>
            <w:r w:rsidRPr="002A714F">
              <w:rPr>
                <w:rFonts w:ascii="Arial" w:hAnsi="Arial" w:cs="Arial"/>
                <w:b/>
                <w:bCs/>
                <w:color w:val="000000"/>
              </w:rPr>
              <w:t>6,038</w:t>
            </w:r>
          </w:p>
        </w:tc>
        <w:tc>
          <w:tcPr>
            <w:tcW w:w="1089"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0D94C5F0" w14:textId="77777777" w:rsidR="00987C9F" w:rsidRPr="002A714F" w:rsidRDefault="00987C9F">
            <w:pPr>
              <w:rPr>
                <w:rFonts w:ascii="Arial" w:hAnsi="Arial" w:cs="Arial"/>
                <w:color w:val="000000"/>
              </w:rPr>
            </w:pPr>
            <w:r w:rsidRPr="002A714F">
              <w:rPr>
                <w:rFonts w:ascii="Arial" w:hAnsi="Arial" w:cs="Arial"/>
                <w:color w:val="000000"/>
              </w:rPr>
              <w:t>6,534</w:t>
            </w:r>
          </w:p>
        </w:tc>
        <w:tc>
          <w:tcPr>
            <w:tcW w:w="969"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1F7A4EB3" w14:textId="77777777" w:rsidR="00987C9F" w:rsidRPr="002A714F" w:rsidRDefault="00987C9F">
            <w:pPr>
              <w:rPr>
                <w:rFonts w:ascii="Arial" w:hAnsi="Arial" w:cs="Arial"/>
                <w:color w:val="000000"/>
              </w:rPr>
            </w:pPr>
            <w:r w:rsidRPr="002A714F">
              <w:rPr>
                <w:rFonts w:ascii="Arial" w:hAnsi="Arial" w:cs="Arial"/>
                <w:color w:val="000000"/>
              </w:rPr>
              <w:t>-8%</w:t>
            </w:r>
          </w:p>
        </w:tc>
        <w:tc>
          <w:tcPr>
            <w:tcW w:w="1228" w:type="dxa"/>
            <w:tcBorders>
              <w:top w:val="nil"/>
              <w:left w:val="nil"/>
              <w:bottom w:val="single" w:sz="8" w:space="0" w:color="000000"/>
              <w:right w:val="single" w:sz="8" w:space="0" w:color="000000"/>
            </w:tcBorders>
            <w:shd w:val="clear" w:color="auto" w:fill="CFE2F3"/>
            <w:tcMar>
              <w:top w:w="105" w:type="dxa"/>
              <w:left w:w="105" w:type="dxa"/>
              <w:bottom w:w="105" w:type="dxa"/>
              <w:right w:w="105" w:type="dxa"/>
            </w:tcMar>
            <w:vAlign w:val="center"/>
            <w:hideMark/>
          </w:tcPr>
          <w:p w14:paraId="3229D995" w14:textId="77777777" w:rsidR="00987C9F" w:rsidRPr="002A714F" w:rsidRDefault="00987C9F">
            <w:pPr>
              <w:rPr>
                <w:rFonts w:ascii="Arial" w:hAnsi="Arial" w:cs="Arial"/>
                <w:color w:val="000000"/>
              </w:rPr>
            </w:pPr>
            <w:r w:rsidRPr="002A714F">
              <w:rPr>
                <w:rFonts w:ascii="Arial" w:hAnsi="Arial" w:cs="Arial"/>
                <w:b/>
                <w:bCs/>
                <w:color w:val="000000"/>
              </w:rPr>
              <w:t>N/A</w:t>
            </w:r>
          </w:p>
        </w:tc>
        <w:tc>
          <w:tcPr>
            <w:tcW w:w="1211"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0A8CF795" w14:textId="77777777" w:rsidR="00987C9F" w:rsidRPr="002A714F" w:rsidRDefault="00987C9F">
            <w:pPr>
              <w:rPr>
                <w:rFonts w:ascii="Arial" w:hAnsi="Arial" w:cs="Arial"/>
                <w:color w:val="000000"/>
              </w:rPr>
            </w:pPr>
            <w:r w:rsidRPr="002A714F">
              <w:rPr>
                <w:rFonts w:ascii="Arial" w:hAnsi="Arial" w:cs="Arial"/>
                <w:color w:val="000000"/>
              </w:rPr>
              <w:t>N/A</w:t>
            </w:r>
          </w:p>
        </w:tc>
        <w:tc>
          <w:tcPr>
            <w:tcW w:w="1001" w:type="dxa"/>
            <w:tcBorders>
              <w:top w:val="nil"/>
              <w:left w:val="nil"/>
              <w:bottom w:val="single" w:sz="8" w:space="0" w:color="000000"/>
              <w:right w:val="single" w:sz="8" w:space="0" w:color="000000"/>
            </w:tcBorders>
            <w:shd w:val="clear" w:color="auto" w:fill="FFFFFF"/>
            <w:tcMar>
              <w:top w:w="105" w:type="dxa"/>
              <w:left w:w="105" w:type="dxa"/>
              <w:bottom w:w="105" w:type="dxa"/>
              <w:right w:w="105" w:type="dxa"/>
            </w:tcMar>
            <w:vAlign w:val="center"/>
            <w:hideMark/>
          </w:tcPr>
          <w:p w14:paraId="5D02C96C" w14:textId="77777777" w:rsidR="00987C9F" w:rsidRPr="002A714F" w:rsidRDefault="00987C9F">
            <w:pPr>
              <w:rPr>
                <w:rFonts w:ascii="Arial" w:hAnsi="Arial" w:cs="Arial"/>
                <w:color w:val="000000"/>
              </w:rPr>
            </w:pPr>
            <w:r w:rsidRPr="002A714F">
              <w:rPr>
                <w:rFonts w:ascii="Arial" w:hAnsi="Arial" w:cs="Arial"/>
                <w:color w:val="000000"/>
              </w:rPr>
              <w:t>    N/A</w:t>
            </w:r>
          </w:p>
        </w:tc>
      </w:tr>
    </w:tbl>
    <w:p w14:paraId="42EE9661" w14:textId="77777777" w:rsidR="00987C9F" w:rsidRPr="002A714F" w:rsidRDefault="00987C9F" w:rsidP="000D769F">
      <w:pPr>
        <w:jc w:val="both"/>
        <w:rPr>
          <w:rFonts w:ascii="Arial" w:hAnsi="Arial" w:cs="Arial"/>
        </w:rPr>
      </w:pPr>
    </w:p>
    <w:p w14:paraId="5DD9F97A" w14:textId="4BA41AF8" w:rsidR="000A739F" w:rsidRPr="002A714F" w:rsidRDefault="000A739F" w:rsidP="000A739F">
      <w:pPr>
        <w:spacing w:line="276" w:lineRule="auto"/>
        <w:rPr>
          <w:rFonts w:ascii="Arial" w:hAnsi="Arial" w:cs="Arial"/>
          <w:color w:val="000000"/>
        </w:rPr>
      </w:pPr>
      <w:r w:rsidRPr="002A714F">
        <w:rPr>
          <w:rFonts w:ascii="Arial" w:hAnsi="Arial" w:cs="Arial"/>
          <w:b/>
          <w:bCs/>
          <w:color w:val="000000"/>
        </w:rPr>
        <w:t xml:space="preserve">Airbus Consolidado – Resultados del Segundo Cuarto (Q2) de 2023 </w:t>
      </w:r>
      <w:r w:rsidRPr="002A714F">
        <w:rPr>
          <w:rFonts w:ascii="Arial" w:hAnsi="Arial" w:cs="Arial"/>
          <w:color w:val="000000"/>
        </w:rPr>
        <w:br/>
      </w:r>
      <w:r w:rsidRPr="002A714F">
        <w:rPr>
          <w:rFonts w:ascii="Arial" w:hAnsi="Arial" w:cs="Arial"/>
          <w:color w:val="000000"/>
        </w:rPr>
        <w:br/>
        <w:t>(</w:t>
      </w:r>
      <w:r w:rsidR="007C0D4A">
        <w:rPr>
          <w:rFonts w:ascii="Arial" w:hAnsi="Arial" w:cs="Arial"/>
          <w:color w:val="000000"/>
        </w:rPr>
        <w:t>Montos</w:t>
      </w:r>
      <w:r w:rsidRPr="002A714F">
        <w:rPr>
          <w:rFonts w:ascii="Arial" w:hAnsi="Arial" w:cs="Arial"/>
          <w:color w:val="000000"/>
        </w:rPr>
        <w:t xml:space="preserve"> en Euros)</w:t>
      </w:r>
    </w:p>
    <w:tbl>
      <w:tblPr>
        <w:tblW w:w="0" w:type="dxa"/>
        <w:tblCellMar>
          <w:left w:w="0" w:type="dxa"/>
          <w:right w:w="0" w:type="dxa"/>
        </w:tblCellMar>
        <w:tblLook w:val="04A0" w:firstRow="1" w:lastRow="0" w:firstColumn="1" w:lastColumn="0" w:noHBand="0" w:noVBand="1"/>
      </w:tblPr>
      <w:tblGrid>
        <w:gridCol w:w="3364"/>
        <w:gridCol w:w="2175"/>
        <w:gridCol w:w="2175"/>
        <w:gridCol w:w="1104"/>
      </w:tblGrid>
      <w:tr w:rsidR="000A739F" w:rsidRPr="002A714F" w14:paraId="617D6FF5" w14:textId="77777777" w:rsidTr="000A739F">
        <w:trPr>
          <w:trHeight w:val="525"/>
        </w:trPr>
        <w:tc>
          <w:tcPr>
            <w:tcW w:w="3450" w:type="dxa"/>
            <w:tcBorders>
              <w:top w:val="single" w:sz="8" w:space="0" w:color="000000"/>
              <w:left w:val="single" w:sz="8" w:space="0" w:color="000000"/>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0E44B62F" w14:textId="52BFFF98" w:rsidR="000A739F" w:rsidRPr="002A714F" w:rsidRDefault="000A739F">
            <w:pPr>
              <w:spacing w:line="276" w:lineRule="auto"/>
              <w:rPr>
                <w:rFonts w:ascii="Arial" w:hAnsi="Arial" w:cs="Arial"/>
                <w:color w:val="000000"/>
              </w:rPr>
            </w:pPr>
            <w:r w:rsidRPr="002A714F">
              <w:rPr>
                <w:rFonts w:ascii="Arial" w:hAnsi="Arial" w:cs="Arial"/>
                <w:b/>
                <w:bCs/>
                <w:color w:val="000000"/>
              </w:rPr>
              <w:t xml:space="preserve">Consolidado Airbus </w:t>
            </w:r>
          </w:p>
        </w:tc>
        <w:tc>
          <w:tcPr>
            <w:tcW w:w="2235" w:type="dxa"/>
            <w:tcBorders>
              <w:top w:val="single" w:sz="8" w:space="0" w:color="000000"/>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7D0DE77C"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Q2 2023</w:t>
            </w:r>
          </w:p>
        </w:tc>
        <w:tc>
          <w:tcPr>
            <w:tcW w:w="2235" w:type="dxa"/>
            <w:tcBorders>
              <w:top w:val="single" w:sz="8" w:space="0" w:color="000000"/>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19768C04" w14:textId="77777777" w:rsidR="000A739F" w:rsidRPr="002A714F" w:rsidRDefault="000A739F">
            <w:pPr>
              <w:spacing w:line="276" w:lineRule="auto"/>
              <w:rPr>
                <w:rFonts w:ascii="Arial" w:hAnsi="Arial" w:cs="Arial"/>
                <w:color w:val="000000"/>
              </w:rPr>
            </w:pPr>
            <w:r w:rsidRPr="002A714F">
              <w:rPr>
                <w:rFonts w:ascii="Arial" w:hAnsi="Arial" w:cs="Arial"/>
                <w:color w:val="000000"/>
              </w:rPr>
              <w:t>Q2 2022</w:t>
            </w:r>
          </w:p>
        </w:tc>
        <w:tc>
          <w:tcPr>
            <w:tcW w:w="1110" w:type="dxa"/>
            <w:tcBorders>
              <w:top w:val="single" w:sz="8" w:space="0" w:color="000000"/>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73E6349D" w14:textId="77A16458" w:rsidR="000A739F" w:rsidRPr="002A714F" w:rsidRDefault="000A739F">
            <w:pPr>
              <w:spacing w:line="276" w:lineRule="auto"/>
              <w:rPr>
                <w:rFonts w:ascii="Arial" w:hAnsi="Arial" w:cs="Arial"/>
                <w:color w:val="000000"/>
              </w:rPr>
            </w:pPr>
            <w:r w:rsidRPr="002A714F">
              <w:rPr>
                <w:rFonts w:ascii="Arial" w:hAnsi="Arial" w:cs="Arial"/>
                <w:color w:val="000000"/>
              </w:rPr>
              <w:t>C</w:t>
            </w:r>
            <w:r w:rsidR="007C0D4A">
              <w:rPr>
                <w:rFonts w:ascii="Arial" w:hAnsi="Arial" w:cs="Arial"/>
                <w:color w:val="000000"/>
              </w:rPr>
              <w:t>ambio</w:t>
            </w:r>
          </w:p>
        </w:tc>
      </w:tr>
      <w:tr w:rsidR="000A739F" w:rsidRPr="002A714F" w14:paraId="781B2E51" w14:textId="77777777" w:rsidTr="000A739F">
        <w:trPr>
          <w:trHeight w:val="345"/>
        </w:trPr>
        <w:tc>
          <w:tcPr>
            <w:tcW w:w="3450"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243CECD6" w14:textId="3AE2648C" w:rsidR="000A739F" w:rsidRPr="002A714F" w:rsidRDefault="000A739F">
            <w:pPr>
              <w:spacing w:line="276" w:lineRule="auto"/>
              <w:rPr>
                <w:rFonts w:ascii="Arial" w:hAnsi="Arial" w:cs="Arial"/>
                <w:color w:val="000000"/>
              </w:rPr>
            </w:pPr>
            <w:r w:rsidRPr="007C0D4A">
              <w:rPr>
                <w:rFonts w:ascii="Arial" w:hAnsi="Arial" w:cs="Arial"/>
                <w:b/>
                <w:bCs/>
                <w:color w:val="000000"/>
              </w:rPr>
              <w:t>Ingresos</w:t>
            </w:r>
            <w:r w:rsidRPr="002A714F">
              <w:rPr>
                <w:rFonts w:ascii="Arial" w:hAnsi="Arial" w:cs="Arial"/>
                <w:color w:val="000000"/>
              </w:rPr>
              <w:t>, en millones</w:t>
            </w:r>
          </w:p>
        </w:tc>
        <w:tc>
          <w:tcPr>
            <w:tcW w:w="223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5056979F"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15,900</w:t>
            </w:r>
          </w:p>
        </w:tc>
        <w:tc>
          <w:tcPr>
            <w:tcW w:w="223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25038C59" w14:textId="77777777" w:rsidR="000A739F" w:rsidRPr="002A714F" w:rsidRDefault="000A739F">
            <w:pPr>
              <w:spacing w:line="276" w:lineRule="auto"/>
              <w:rPr>
                <w:rFonts w:ascii="Arial" w:hAnsi="Arial" w:cs="Arial"/>
                <w:color w:val="000000"/>
              </w:rPr>
            </w:pPr>
            <w:r w:rsidRPr="002A714F">
              <w:rPr>
                <w:rFonts w:ascii="Arial" w:hAnsi="Arial" w:cs="Arial"/>
                <w:color w:val="000000"/>
              </w:rPr>
              <w:t>12,810</w:t>
            </w:r>
          </w:p>
        </w:tc>
        <w:tc>
          <w:tcPr>
            <w:tcW w:w="1110"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142C0727" w14:textId="77777777" w:rsidR="000A739F" w:rsidRPr="002A714F" w:rsidRDefault="000A739F">
            <w:pPr>
              <w:spacing w:line="276" w:lineRule="auto"/>
              <w:rPr>
                <w:rFonts w:ascii="Arial" w:hAnsi="Arial" w:cs="Arial"/>
                <w:color w:val="000000"/>
              </w:rPr>
            </w:pPr>
            <w:r w:rsidRPr="002A714F">
              <w:rPr>
                <w:rFonts w:ascii="Arial" w:hAnsi="Arial" w:cs="Arial"/>
                <w:color w:val="000000"/>
              </w:rPr>
              <w:t>+24%</w:t>
            </w:r>
          </w:p>
        </w:tc>
      </w:tr>
      <w:tr w:rsidR="000A739F" w:rsidRPr="002A714F" w14:paraId="210A4E9A" w14:textId="77777777" w:rsidTr="000A739F">
        <w:trPr>
          <w:trHeight w:val="330"/>
        </w:trPr>
        <w:tc>
          <w:tcPr>
            <w:tcW w:w="3450"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45CCE0BF" w14:textId="14C8E06C" w:rsidR="000A739F" w:rsidRPr="002A714F" w:rsidRDefault="000A739F">
            <w:pPr>
              <w:spacing w:line="276" w:lineRule="auto"/>
              <w:rPr>
                <w:rFonts w:ascii="Arial" w:hAnsi="Arial" w:cs="Arial"/>
                <w:color w:val="000000"/>
              </w:rPr>
            </w:pPr>
            <w:r w:rsidRPr="002A714F">
              <w:rPr>
                <w:rFonts w:ascii="Arial" w:hAnsi="Arial" w:cs="Arial"/>
                <w:b/>
                <w:bCs/>
                <w:color w:val="000000"/>
              </w:rPr>
              <w:t xml:space="preserve">EBIT Ajustado, </w:t>
            </w:r>
            <w:r w:rsidRPr="002A714F">
              <w:rPr>
                <w:rFonts w:ascii="Arial" w:hAnsi="Arial" w:cs="Arial"/>
                <w:color w:val="000000"/>
              </w:rPr>
              <w:t>en millones</w:t>
            </w:r>
          </w:p>
        </w:tc>
        <w:tc>
          <w:tcPr>
            <w:tcW w:w="223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5FD6DB06"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1,845</w:t>
            </w:r>
          </w:p>
        </w:tc>
        <w:tc>
          <w:tcPr>
            <w:tcW w:w="223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509D54A3" w14:textId="77777777" w:rsidR="000A739F" w:rsidRPr="002A714F" w:rsidRDefault="000A739F">
            <w:pPr>
              <w:spacing w:line="276" w:lineRule="auto"/>
              <w:rPr>
                <w:rFonts w:ascii="Arial" w:hAnsi="Arial" w:cs="Arial"/>
                <w:color w:val="000000"/>
              </w:rPr>
            </w:pPr>
            <w:r w:rsidRPr="002A714F">
              <w:rPr>
                <w:rFonts w:ascii="Arial" w:hAnsi="Arial" w:cs="Arial"/>
                <w:color w:val="000000"/>
              </w:rPr>
              <w:t>1,382</w:t>
            </w:r>
          </w:p>
        </w:tc>
        <w:tc>
          <w:tcPr>
            <w:tcW w:w="1110"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3EC4DACA" w14:textId="77777777" w:rsidR="000A739F" w:rsidRPr="002A714F" w:rsidRDefault="000A739F">
            <w:pPr>
              <w:spacing w:line="276" w:lineRule="auto"/>
              <w:rPr>
                <w:rFonts w:ascii="Arial" w:hAnsi="Arial" w:cs="Arial"/>
                <w:color w:val="000000"/>
              </w:rPr>
            </w:pPr>
            <w:r w:rsidRPr="002A714F">
              <w:rPr>
                <w:rFonts w:ascii="Arial" w:hAnsi="Arial" w:cs="Arial"/>
                <w:color w:val="000000"/>
              </w:rPr>
              <w:t>+34%</w:t>
            </w:r>
          </w:p>
        </w:tc>
      </w:tr>
      <w:tr w:rsidR="000A739F" w:rsidRPr="002A714F" w14:paraId="4F51DD0C" w14:textId="77777777" w:rsidTr="000A739F">
        <w:trPr>
          <w:trHeight w:val="345"/>
        </w:trPr>
        <w:tc>
          <w:tcPr>
            <w:tcW w:w="3450"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23762DE8" w14:textId="09C9801C" w:rsidR="000A739F" w:rsidRPr="002A714F" w:rsidRDefault="000A739F">
            <w:pPr>
              <w:spacing w:line="276" w:lineRule="auto"/>
              <w:rPr>
                <w:rFonts w:ascii="Arial" w:hAnsi="Arial" w:cs="Arial"/>
                <w:color w:val="000000"/>
              </w:rPr>
            </w:pPr>
            <w:r w:rsidRPr="002A714F">
              <w:rPr>
                <w:rFonts w:ascii="Arial" w:hAnsi="Arial" w:cs="Arial"/>
                <w:b/>
                <w:bCs/>
                <w:color w:val="000000"/>
              </w:rPr>
              <w:t>EBIT (reportado)</w:t>
            </w:r>
            <w:r w:rsidRPr="002A714F">
              <w:rPr>
                <w:rFonts w:ascii="Arial" w:hAnsi="Arial" w:cs="Arial"/>
                <w:color w:val="000000"/>
              </w:rPr>
              <w:t>, in millones</w:t>
            </w:r>
          </w:p>
        </w:tc>
        <w:tc>
          <w:tcPr>
            <w:tcW w:w="223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07CBED75"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1,497</w:t>
            </w:r>
          </w:p>
        </w:tc>
        <w:tc>
          <w:tcPr>
            <w:tcW w:w="223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3561629E" w14:textId="77777777" w:rsidR="000A739F" w:rsidRPr="002A714F" w:rsidRDefault="000A739F">
            <w:pPr>
              <w:spacing w:line="276" w:lineRule="auto"/>
              <w:rPr>
                <w:rFonts w:ascii="Arial" w:hAnsi="Arial" w:cs="Arial"/>
                <w:color w:val="000000"/>
              </w:rPr>
            </w:pPr>
            <w:r w:rsidRPr="002A714F">
              <w:rPr>
                <w:rFonts w:ascii="Arial" w:hAnsi="Arial" w:cs="Arial"/>
                <w:color w:val="000000"/>
              </w:rPr>
              <w:t>1,150</w:t>
            </w:r>
          </w:p>
        </w:tc>
        <w:tc>
          <w:tcPr>
            <w:tcW w:w="1110"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74111B51" w14:textId="77777777" w:rsidR="000A739F" w:rsidRPr="002A714F" w:rsidRDefault="000A739F">
            <w:pPr>
              <w:spacing w:line="276" w:lineRule="auto"/>
              <w:rPr>
                <w:rFonts w:ascii="Arial" w:hAnsi="Arial" w:cs="Arial"/>
                <w:color w:val="000000"/>
              </w:rPr>
            </w:pPr>
            <w:r w:rsidRPr="002A714F">
              <w:rPr>
                <w:rFonts w:ascii="Arial" w:hAnsi="Arial" w:cs="Arial"/>
                <w:color w:val="000000"/>
              </w:rPr>
              <w:t>+30%</w:t>
            </w:r>
          </w:p>
        </w:tc>
      </w:tr>
      <w:tr w:rsidR="000A739F" w:rsidRPr="002A714F" w14:paraId="586B625E" w14:textId="77777777" w:rsidTr="000A739F">
        <w:trPr>
          <w:trHeight w:val="345"/>
        </w:trPr>
        <w:tc>
          <w:tcPr>
            <w:tcW w:w="3450"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129A017C" w14:textId="199A61E5" w:rsidR="000A739F" w:rsidRPr="002A714F" w:rsidRDefault="000A739F">
            <w:pPr>
              <w:spacing w:line="276" w:lineRule="auto"/>
              <w:rPr>
                <w:rFonts w:ascii="Arial" w:hAnsi="Arial" w:cs="Arial"/>
                <w:color w:val="000000"/>
              </w:rPr>
            </w:pPr>
            <w:r w:rsidRPr="002A714F">
              <w:rPr>
                <w:rFonts w:ascii="Arial" w:hAnsi="Arial" w:cs="Arial"/>
                <w:b/>
                <w:bCs/>
                <w:color w:val="000000"/>
              </w:rPr>
              <w:t>Ingreso Neto</w:t>
            </w:r>
            <w:r w:rsidRPr="002A714F">
              <w:rPr>
                <w:rFonts w:ascii="Arial" w:hAnsi="Arial" w:cs="Arial"/>
                <w:b/>
                <w:bCs/>
                <w:color w:val="000000"/>
                <w:vertAlign w:val="superscript"/>
              </w:rPr>
              <w:t>(3)</w:t>
            </w:r>
            <w:r w:rsidRPr="002A714F">
              <w:rPr>
                <w:rFonts w:ascii="Arial" w:hAnsi="Arial" w:cs="Arial"/>
                <w:color w:val="000000"/>
              </w:rPr>
              <w:t>, en millones</w:t>
            </w:r>
          </w:p>
        </w:tc>
        <w:tc>
          <w:tcPr>
            <w:tcW w:w="223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3937A9A5"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1,060</w:t>
            </w:r>
          </w:p>
        </w:tc>
        <w:tc>
          <w:tcPr>
            <w:tcW w:w="223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2773F03E" w14:textId="77777777" w:rsidR="000A739F" w:rsidRPr="002A714F" w:rsidRDefault="000A739F">
            <w:pPr>
              <w:spacing w:line="276" w:lineRule="auto"/>
              <w:rPr>
                <w:rFonts w:ascii="Arial" w:hAnsi="Arial" w:cs="Arial"/>
                <w:color w:val="000000"/>
              </w:rPr>
            </w:pPr>
            <w:r w:rsidRPr="002A714F">
              <w:rPr>
                <w:rFonts w:ascii="Arial" w:hAnsi="Arial" w:cs="Arial"/>
                <w:color w:val="000000"/>
              </w:rPr>
              <w:t>682</w:t>
            </w:r>
          </w:p>
        </w:tc>
        <w:tc>
          <w:tcPr>
            <w:tcW w:w="1110"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25D43113" w14:textId="77777777" w:rsidR="000A739F" w:rsidRPr="002A714F" w:rsidRDefault="000A739F">
            <w:pPr>
              <w:spacing w:line="276" w:lineRule="auto"/>
              <w:rPr>
                <w:rFonts w:ascii="Arial" w:hAnsi="Arial" w:cs="Arial"/>
                <w:color w:val="000000"/>
              </w:rPr>
            </w:pPr>
            <w:r w:rsidRPr="002A714F">
              <w:rPr>
                <w:rFonts w:ascii="Arial" w:hAnsi="Arial" w:cs="Arial"/>
                <w:color w:val="000000"/>
              </w:rPr>
              <w:t>+55%</w:t>
            </w:r>
          </w:p>
        </w:tc>
      </w:tr>
      <w:tr w:rsidR="000A739F" w:rsidRPr="002A714F" w14:paraId="5F3E4C94" w14:textId="77777777" w:rsidTr="000A739F">
        <w:trPr>
          <w:trHeight w:val="315"/>
        </w:trPr>
        <w:tc>
          <w:tcPr>
            <w:tcW w:w="3450"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2AA9A065" w14:textId="29B39786" w:rsidR="000A739F" w:rsidRPr="007C0D4A" w:rsidRDefault="000A739F">
            <w:pPr>
              <w:spacing w:line="276" w:lineRule="auto"/>
              <w:rPr>
                <w:rFonts w:ascii="Arial" w:hAnsi="Arial" w:cs="Arial"/>
                <w:b/>
                <w:bCs/>
                <w:color w:val="000000"/>
              </w:rPr>
            </w:pPr>
            <w:r w:rsidRPr="007C0D4A">
              <w:rPr>
                <w:rFonts w:ascii="Arial" w:hAnsi="Arial" w:cs="Arial"/>
                <w:b/>
                <w:bCs/>
                <w:color w:val="000000"/>
              </w:rPr>
              <w:t>Ganancias por acción</w:t>
            </w:r>
          </w:p>
        </w:tc>
        <w:tc>
          <w:tcPr>
            <w:tcW w:w="223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487AF9EA"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1.34</w:t>
            </w:r>
          </w:p>
        </w:tc>
        <w:tc>
          <w:tcPr>
            <w:tcW w:w="223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30D25AD4" w14:textId="77777777" w:rsidR="000A739F" w:rsidRPr="002A714F" w:rsidRDefault="000A739F">
            <w:pPr>
              <w:spacing w:line="276" w:lineRule="auto"/>
              <w:rPr>
                <w:rFonts w:ascii="Arial" w:hAnsi="Arial" w:cs="Arial"/>
                <w:color w:val="000000"/>
              </w:rPr>
            </w:pPr>
            <w:r w:rsidRPr="002A714F">
              <w:rPr>
                <w:rFonts w:ascii="Arial" w:hAnsi="Arial" w:cs="Arial"/>
                <w:color w:val="000000"/>
              </w:rPr>
              <w:t>0.87</w:t>
            </w:r>
          </w:p>
        </w:tc>
        <w:tc>
          <w:tcPr>
            <w:tcW w:w="1110"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10F3422C" w14:textId="77777777" w:rsidR="000A739F" w:rsidRPr="002A714F" w:rsidRDefault="000A739F">
            <w:pPr>
              <w:spacing w:line="276" w:lineRule="auto"/>
              <w:rPr>
                <w:rFonts w:ascii="Arial" w:hAnsi="Arial" w:cs="Arial"/>
                <w:color w:val="000000"/>
              </w:rPr>
            </w:pPr>
            <w:r w:rsidRPr="002A714F">
              <w:rPr>
                <w:rFonts w:ascii="Arial" w:hAnsi="Arial" w:cs="Arial"/>
                <w:color w:val="000000"/>
              </w:rPr>
              <w:t>+54%</w:t>
            </w:r>
          </w:p>
        </w:tc>
      </w:tr>
    </w:tbl>
    <w:p w14:paraId="62B452C0" w14:textId="77777777" w:rsidR="000A739F" w:rsidRPr="002A714F" w:rsidRDefault="000A739F" w:rsidP="000D769F">
      <w:pPr>
        <w:jc w:val="both"/>
        <w:rPr>
          <w:rFonts w:ascii="Arial" w:hAnsi="Arial" w:cs="Arial"/>
        </w:rPr>
      </w:pPr>
    </w:p>
    <w:tbl>
      <w:tblPr>
        <w:tblW w:w="8818" w:type="dxa"/>
        <w:tblCellMar>
          <w:left w:w="0" w:type="dxa"/>
          <w:right w:w="0" w:type="dxa"/>
        </w:tblCellMar>
        <w:tblLook w:val="04A0" w:firstRow="1" w:lastRow="0" w:firstColumn="1" w:lastColumn="0" w:noHBand="0" w:noVBand="1"/>
      </w:tblPr>
      <w:tblGrid>
        <w:gridCol w:w="2946"/>
        <w:gridCol w:w="883"/>
        <w:gridCol w:w="951"/>
        <w:gridCol w:w="981"/>
        <w:gridCol w:w="991"/>
        <w:gridCol w:w="991"/>
        <w:gridCol w:w="1075"/>
      </w:tblGrid>
      <w:tr w:rsidR="007C0D4A" w:rsidRPr="000A739F" w14:paraId="0E078546" w14:textId="77777777" w:rsidTr="007C0D4A">
        <w:trPr>
          <w:trHeight w:val="495"/>
        </w:trPr>
        <w:tc>
          <w:tcPr>
            <w:tcW w:w="2967" w:type="dxa"/>
            <w:tcBorders>
              <w:top w:val="single" w:sz="8" w:space="0" w:color="000000"/>
              <w:left w:val="single" w:sz="8" w:space="0" w:color="000000"/>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03124090" w14:textId="3A3C6695" w:rsidR="000A739F" w:rsidRPr="000A739F" w:rsidRDefault="007C0D4A" w:rsidP="007C0D4A">
            <w:pPr>
              <w:rPr>
                <w:rFonts w:ascii="Arial" w:hAnsi="Arial" w:cs="Arial"/>
                <w:b/>
                <w:bCs/>
              </w:rPr>
            </w:pPr>
            <w:r>
              <w:rPr>
                <w:rFonts w:ascii="Arial" w:hAnsi="Arial" w:cs="Arial"/>
                <w:b/>
                <w:bCs/>
              </w:rPr>
              <w:t>Por Segmento de Negocio</w:t>
            </w:r>
          </w:p>
        </w:tc>
        <w:tc>
          <w:tcPr>
            <w:tcW w:w="2784" w:type="dxa"/>
            <w:gridSpan w:val="3"/>
            <w:tcBorders>
              <w:top w:val="single" w:sz="8" w:space="0" w:color="000000"/>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6E437A39" w14:textId="352DC951" w:rsidR="000A739F" w:rsidRPr="000A739F" w:rsidRDefault="000A739F" w:rsidP="000A739F">
            <w:pPr>
              <w:jc w:val="both"/>
              <w:rPr>
                <w:rFonts w:ascii="Arial" w:hAnsi="Arial" w:cs="Arial"/>
                <w:b/>
                <w:bCs/>
              </w:rPr>
            </w:pPr>
            <w:r w:rsidRPr="007C0D4A">
              <w:rPr>
                <w:rFonts w:ascii="Arial" w:hAnsi="Arial" w:cs="Arial"/>
                <w:b/>
                <w:bCs/>
              </w:rPr>
              <w:t>Ingreso</w:t>
            </w:r>
          </w:p>
        </w:tc>
        <w:tc>
          <w:tcPr>
            <w:tcW w:w="3067" w:type="dxa"/>
            <w:gridSpan w:val="3"/>
            <w:tcBorders>
              <w:top w:val="single" w:sz="8" w:space="0" w:color="000000"/>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2DB4D977" w14:textId="493782FB" w:rsidR="000A739F" w:rsidRPr="000A739F" w:rsidRDefault="000A739F" w:rsidP="000A739F">
            <w:pPr>
              <w:jc w:val="both"/>
              <w:rPr>
                <w:rFonts w:ascii="Arial" w:hAnsi="Arial" w:cs="Arial"/>
              </w:rPr>
            </w:pPr>
            <w:r w:rsidRPr="000A739F">
              <w:rPr>
                <w:rFonts w:ascii="Arial" w:hAnsi="Arial" w:cs="Arial"/>
                <w:b/>
                <w:bCs/>
              </w:rPr>
              <w:t>EBIT (report</w:t>
            </w:r>
            <w:r w:rsidRPr="002A714F">
              <w:rPr>
                <w:rFonts w:ascii="Arial" w:hAnsi="Arial" w:cs="Arial"/>
                <w:b/>
                <w:bCs/>
              </w:rPr>
              <w:t>ado</w:t>
            </w:r>
            <w:r w:rsidRPr="000A739F">
              <w:rPr>
                <w:rFonts w:ascii="Arial" w:hAnsi="Arial" w:cs="Arial"/>
                <w:b/>
                <w:bCs/>
              </w:rPr>
              <w:t>)</w:t>
            </w:r>
          </w:p>
        </w:tc>
      </w:tr>
      <w:tr w:rsidR="007C0D4A" w:rsidRPr="000A739F" w14:paraId="36446083" w14:textId="77777777" w:rsidTr="007C0D4A">
        <w:trPr>
          <w:trHeight w:val="585"/>
        </w:trPr>
        <w:tc>
          <w:tcPr>
            <w:tcW w:w="2967"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51907624" w14:textId="6BC9CE32" w:rsidR="000A739F" w:rsidRPr="000A739F" w:rsidRDefault="000A739F" w:rsidP="007C0D4A">
            <w:pPr>
              <w:rPr>
                <w:rFonts w:ascii="Arial" w:hAnsi="Arial" w:cs="Arial"/>
              </w:rPr>
            </w:pPr>
            <w:r w:rsidRPr="000A739F">
              <w:rPr>
                <w:rFonts w:ascii="Arial" w:hAnsi="Arial" w:cs="Arial"/>
              </w:rPr>
              <w:t>(</w:t>
            </w:r>
            <w:r w:rsidR="007C0D4A">
              <w:rPr>
                <w:rFonts w:ascii="Arial" w:hAnsi="Arial" w:cs="Arial"/>
              </w:rPr>
              <w:t>Montos</w:t>
            </w:r>
            <w:r w:rsidRPr="002A714F">
              <w:rPr>
                <w:rFonts w:ascii="Arial" w:hAnsi="Arial" w:cs="Arial"/>
              </w:rPr>
              <w:t xml:space="preserve"> en millones de Euros)</w:t>
            </w:r>
          </w:p>
        </w:tc>
        <w:tc>
          <w:tcPr>
            <w:tcW w:w="851"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2E112742" w14:textId="77777777" w:rsidR="000A739F" w:rsidRPr="000A739F" w:rsidRDefault="000A739F" w:rsidP="000A739F">
            <w:pPr>
              <w:jc w:val="both"/>
              <w:rPr>
                <w:rFonts w:ascii="Arial" w:hAnsi="Arial" w:cs="Arial"/>
              </w:rPr>
            </w:pPr>
            <w:r w:rsidRPr="000A739F">
              <w:rPr>
                <w:rFonts w:ascii="Arial" w:hAnsi="Arial" w:cs="Arial"/>
                <w:b/>
                <w:bCs/>
              </w:rPr>
              <w:t>Q2 2023</w:t>
            </w:r>
          </w:p>
        </w:tc>
        <w:tc>
          <w:tcPr>
            <w:tcW w:w="952"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631BE332" w14:textId="77777777" w:rsidR="000A739F" w:rsidRPr="000A739F" w:rsidRDefault="000A739F" w:rsidP="000A739F">
            <w:pPr>
              <w:jc w:val="both"/>
              <w:rPr>
                <w:rFonts w:ascii="Arial" w:hAnsi="Arial" w:cs="Arial"/>
              </w:rPr>
            </w:pPr>
            <w:r w:rsidRPr="000A739F">
              <w:rPr>
                <w:rFonts w:ascii="Arial" w:hAnsi="Arial" w:cs="Arial"/>
              </w:rPr>
              <w:t>Q2 2022</w:t>
            </w:r>
          </w:p>
        </w:tc>
        <w:tc>
          <w:tcPr>
            <w:tcW w:w="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3FE7D54C" w14:textId="5B23B716" w:rsidR="000A739F" w:rsidRPr="000A739F" w:rsidRDefault="000A739F" w:rsidP="000A739F">
            <w:pPr>
              <w:jc w:val="both"/>
              <w:rPr>
                <w:rFonts w:ascii="Arial" w:hAnsi="Arial" w:cs="Arial"/>
              </w:rPr>
            </w:pPr>
            <w:r w:rsidRPr="000A739F">
              <w:rPr>
                <w:rFonts w:ascii="Arial" w:hAnsi="Arial" w:cs="Arial"/>
              </w:rPr>
              <w:t>C</w:t>
            </w:r>
            <w:r w:rsidR="007C0D4A">
              <w:rPr>
                <w:rFonts w:ascii="Arial" w:hAnsi="Arial" w:cs="Arial"/>
              </w:rPr>
              <w:t>ambio</w:t>
            </w:r>
          </w:p>
        </w:tc>
        <w:tc>
          <w:tcPr>
            <w:tcW w:w="99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3BEEA02C" w14:textId="77777777" w:rsidR="000A739F" w:rsidRPr="000A739F" w:rsidRDefault="000A739F" w:rsidP="000A739F">
            <w:pPr>
              <w:jc w:val="both"/>
              <w:rPr>
                <w:rFonts w:ascii="Arial" w:hAnsi="Arial" w:cs="Arial"/>
              </w:rPr>
            </w:pPr>
            <w:r w:rsidRPr="000A739F">
              <w:rPr>
                <w:rFonts w:ascii="Arial" w:hAnsi="Arial" w:cs="Arial"/>
                <w:b/>
                <w:bCs/>
              </w:rPr>
              <w:t>Q2 2023</w:t>
            </w:r>
          </w:p>
        </w:tc>
        <w:tc>
          <w:tcPr>
            <w:tcW w:w="99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C839079" w14:textId="77777777" w:rsidR="000A739F" w:rsidRPr="000A739F" w:rsidRDefault="000A739F" w:rsidP="000A739F">
            <w:pPr>
              <w:jc w:val="both"/>
              <w:rPr>
                <w:rFonts w:ascii="Arial" w:hAnsi="Arial" w:cs="Arial"/>
              </w:rPr>
            </w:pPr>
            <w:r w:rsidRPr="000A739F">
              <w:rPr>
                <w:rFonts w:ascii="Arial" w:hAnsi="Arial" w:cs="Arial"/>
              </w:rPr>
              <w:t>Q2 2022</w:t>
            </w:r>
          </w:p>
        </w:tc>
        <w:tc>
          <w:tcPr>
            <w:tcW w:w="1077"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6E4A5FA6" w14:textId="64B559D3" w:rsidR="000A739F" w:rsidRPr="000A739F" w:rsidRDefault="000A739F" w:rsidP="000A739F">
            <w:pPr>
              <w:jc w:val="both"/>
              <w:rPr>
                <w:rFonts w:ascii="Arial" w:hAnsi="Arial" w:cs="Arial"/>
              </w:rPr>
            </w:pPr>
            <w:r w:rsidRPr="000A739F">
              <w:rPr>
                <w:rFonts w:ascii="Arial" w:hAnsi="Arial" w:cs="Arial"/>
              </w:rPr>
              <w:t>C</w:t>
            </w:r>
            <w:r w:rsidR="007C0D4A">
              <w:rPr>
                <w:rFonts w:ascii="Arial" w:hAnsi="Arial" w:cs="Arial"/>
              </w:rPr>
              <w:t>ambio</w:t>
            </w:r>
          </w:p>
        </w:tc>
      </w:tr>
      <w:tr w:rsidR="007C0D4A" w:rsidRPr="000A739F" w14:paraId="2D2E2B60" w14:textId="77777777" w:rsidTr="007C0D4A">
        <w:trPr>
          <w:trHeight w:val="405"/>
        </w:trPr>
        <w:tc>
          <w:tcPr>
            <w:tcW w:w="2967"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78374925" w14:textId="77777777" w:rsidR="000A739F" w:rsidRPr="000A739F" w:rsidRDefault="000A739F" w:rsidP="000A739F">
            <w:pPr>
              <w:jc w:val="both"/>
              <w:rPr>
                <w:rFonts w:ascii="Arial" w:hAnsi="Arial" w:cs="Arial"/>
              </w:rPr>
            </w:pPr>
            <w:r w:rsidRPr="000A739F">
              <w:rPr>
                <w:rFonts w:ascii="Arial" w:hAnsi="Arial" w:cs="Arial"/>
              </w:rPr>
              <w:t>Airbus</w:t>
            </w:r>
          </w:p>
        </w:tc>
        <w:tc>
          <w:tcPr>
            <w:tcW w:w="851"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7BFDFC2F" w14:textId="77777777" w:rsidR="000A739F" w:rsidRPr="000A739F" w:rsidRDefault="000A739F" w:rsidP="000A739F">
            <w:pPr>
              <w:jc w:val="both"/>
              <w:rPr>
                <w:rFonts w:ascii="Arial" w:hAnsi="Arial" w:cs="Arial"/>
              </w:rPr>
            </w:pPr>
            <w:r w:rsidRPr="000A739F">
              <w:rPr>
                <w:rFonts w:ascii="Arial" w:hAnsi="Arial" w:cs="Arial"/>
                <w:b/>
                <w:bCs/>
              </w:rPr>
              <w:t>12,239</w:t>
            </w:r>
          </w:p>
        </w:tc>
        <w:tc>
          <w:tcPr>
            <w:tcW w:w="952"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59C09F11" w14:textId="77777777" w:rsidR="000A739F" w:rsidRPr="000A739F" w:rsidRDefault="000A739F" w:rsidP="000A739F">
            <w:pPr>
              <w:jc w:val="both"/>
              <w:rPr>
                <w:rFonts w:ascii="Arial" w:hAnsi="Arial" w:cs="Arial"/>
              </w:rPr>
            </w:pPr>
            <w:r w:rsidRPr="000A739F">
              <w:rPr>
                <w:rFonts w:ascii="Arial" w:hAnsi="Arial" w:cs="Arial"/>
              </w:rPr>
              <w:t>8,992</w:t>
            </w:r>
          </w:p>
        </w:tc>
        <w:tc>
          <w:tcPr>
            <w:tcW w:w="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DA34317" w14:textId="77777777" w:rsidR="000A739F" w:rsidRPr="000A739F" w:rsidRDefault="000A739F" w:rsidP="000A739F">
            <w:pPr>
              <w:jc w:val="both"/>
              <w:rPr>
                <w:rFonts w:ascii="Arial" w:hAnsi="Arial" w:cs="Arial"/>
              </w:rPr>
            </w:pPr>
            <w:r w:rsidRPr="000A739F">
              <w:rPr>
                <w:rFonts w:ascii="Arial" w:hAnsi="Arial" w:cs="Arial"/>
              </w:rPr>
              <w:t>+36%</w:t>
            </w:r>
          </w:p>
        </w:tc>
        <w:tc>
          <w:tcPr>
            <w:tcW w:w="99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0B51A320" w14:textId="77777777" w:rsidR="000A739F" w:rsidRPr="000A739F" w:rsidRDefault="000A739F" w:rsidP="000A739F">
            <w:pPr>
              <w:jc w:val="both"/>
              <w:rPr>
                <w:rFonts w:ascii="Arial" w:hAnsi="Arial" w:cs="Arial"/>
              </w:rPr>
            </w:pPr>
            <w:r w:rsidRPr="000A739F">
              <w:rPr>
                <w:rFonts w:ascii="Arial" w:hAnsi="Arial" w:cs="Arial"/>
                <w:b/>
                <w:bCs/>
              </w:rPr>
              <w:t>1,326</w:t>
            </w:r>
          </w:p>
        </w:tc>
        <w:tc>
          <w:tcPr>
            <w:tcW w:w="99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55EBA6F7" w14:textId="77777777" w:rsidR="000A739F" w:rsidRPr="000A739F" w:rsidRDefault="000A739F" w:rsidP="000A739F">
            <w:pPr>
              <w:jc w:val="both"/>
              <w:rPr>
                <w:rFonts w:ascii="Arial" w:hAnsi="Arial" w:cs="Arial"/>
              </w:rPr>
            </w:pPr>
            <w:r w:rsidRPr="000A739F">
              <w:rPr>
                <w:rFonts w:ascii="Arial" w:hAnsi="Arial" w:cs="Arial"/>
              </w:rPr>
              <w:t>1,236</w:t>
            </w:r>
          </w:p>
        </w:tc>
        <w:tc>
          <w:tcPr>
            <w:tcW w:w="1077"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C712F3E" w14:textId="77777777" w:rsidR="000A739F" w:rsidRPr="000A739F" w:rsidRDefault="000A739F" w:rsidP="000A739F">
            <w:pPr>
              <w:jc w:val="both"/>
              <w:rPr>
                <w:rFonts w:ascii="Arial" w:hAnsi="Arial" w:cs="Arial"/>
              </w:rPr>
            </w:pPr>
            <w:r w:rsidRPr="000A739F">
              <w:rPr>
                <w:rFonts w:ascii="Arial" w:hAnsi="Arial" w:cs="Arial"/>
              </w:rPr>
              <w:t>+7%</w:t>
            </w:r>
          </w:p>
        </w:tc>
      </w:tr>
      <w:tr w:rsidR="007C0D4A" w:rsidRPr="000A739F" w14:paraId="1F176E43" w14:textId="77777777" w:rsidTr="007C0D4A">
        <w:trPr>
          <w:trHeight w:val="345"/>
        </w:trPr>
        <w:tc>
          <w:tcPr>
            <w:tcW w:w="2967"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5F42D126" w14:textId="77777777" w:rsidR="000A739F" w:rsidRPr="000A739F" w:rsidRDefault="000A739F" w:rsidP="000A739F">
            <w:pPr>
              <w:jc w:val="both"/>
              <w:rPr>
                <w:rFonts w:ascii="Arial" w:hAnsi="Arial" w:cs="Arial"/>
              </w:rPr>
            </w:pPr>
            <w:r w:rsidRPr="000A739F">
              <w:rPr>
                <w:rFonts w:ascii="Arial" w:hAnsi="Arial" w:cs="Arial"/>
              </w:rPr>
              <w:t>Airbus Helicopters</w:t>
            </w:r>
          </w:p>
        </w:tc>
        <w:tc>
          <w:tcPr>
            <w:tcW w:w="851"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215E7F64" w14:textId="77777777" w:rsidR="000A739F" w:rsidRPr="000A739F" w:rsidRDefault="000A739F" w:rsidP="000A739F">
            <w:pPr>
              <w:jc w:val="both"/>
              <w:rPr>
                <w:rFonts w:ascii="Arial" w:hAnsi="Arial" w:cs="Arial"/>
              </w:rPr>
            </w:pPr>
            <w:r w:rsidRPr="000A739F">
              <w:rPr>
                <w:rFonts w:ascii="Arial" w:hAnsi="Arial" w:cs="Arial"/>
                <w:b/>
                <w:bCs/>
              </w:rPr>
              <w:t>1,596</w:t>
            </w:r>
          </w:p>
        </w:tc>
        <w:tc>
          <w:tcPr>
            <w:tcW w:w="952"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149D7F9" w14:textId="77777777" w:rsidR="000A739F" w:rsidRPr="000A739F" w:rsidRDefault="000A739F" w:rsidP="000A739F">
            <w:pPr>
              <w:jc w:val="both"/>
              <w:rPr>
                <w:rFonts w:ascii="Arial" w:hAnsi="Arial" w:cs="Arial"/>
              </w:rPr>
            </w:pPr>
            <w:r w:rsidRPr="000A739F">
              <w:rPr>
                <w:rFonts w:ascii="Arial" w:hAnsi="Arial" w:cs="Arial"/>
              </w:rPr>
              <w:t>1,479</w:t>
            </w:r>
          </w:p>
        </w:tc>
        <w:tc>
          <w:tcPr>
            <w:tcW w:w="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8EF5196" w14:textId="77777777" w:rsidR="000A739F" w:rsidRPr="000A739F" w:rsidRDefault="000A739F" w:rsidP="000A739F">
            <w:pPr>
              <w:jc w:val="both"/>
              <w:rPr>
                <w:rFonts w:ascii="Arial" w:hAnsi="Arial" w:cs="Arial"/>
              </w:rPr>
            </w:pPr>
            <w:r w:rsidRPr="000A739F">
              <w:rPr>
                <w:rFonts w:ascii="Arial" w:hAnsi="Arial" w:cs="Arial"/>
              </w:rPr>
              <w:t>+8%</w:t>
            </w:r>
          </w:p>
        </w:tc>
        <w:tc>
          <w:tcPr>
            <w:tcW w:w="99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2019B113" w14:textId="77777777" w:rsidR="000A739F" w:rsidRPr="000A739F" w:rsidRDefault="000A739F" w:rsidP="000A739F">
            <w:pPr>
              <w:jc w:val="both"/>
              <w:rPr>
                <w:rFonts w:ascii="Arial" w:hAnsi="Arial" w:cs="Arial"/>
              </w:rPr>
            </w:pPr>
            <w:r w:rsidRPr="000A739F">
              <w:rPr>
                <w:rFonts w:ascii="Arial" w:hAnsi="Arial" w:cs="Arial"/>
                <w:b/>
                <w:bCs/>
              </w:rPr>
              <w:t>111</w:t>
            </w:r>
          </w:p>
        </w:tc>
        <w:tc>
          <w:tcPr>
            <w:tcW w:w="99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14AAE79E" w14:textId="77777777" w:rsidR="000A739F" w:rsidRPr="000A739F" w:rsidRDefault="000A739F" w:rsidP="000A739F">
            <w:pPr>
              <w:jc w:val="both"/>
              <w:rPr>
                <w:rFonts w:ascii="Arial" w:hAnsi="Arial" w:cs="Arial"/>
              </w:rPr>
            </w:pPr>
            <w:r w:rsidRPr="000A739F">
              <w:rPr>
                <w:rFonts w:ascii="Arial" w:hAnsi="Arial" w:cs="Arial"/>
              </w:rPr>
              <w:t>125</w:t>
            </w:r>
          </w:p>
        </w:tc>
        <w:tc>
          <w:tcPr>
            <w:tcW w:w="1077"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7B845756" w14:textId="77777777" w:rsidR="000A739F" w:rsidRPr="000A739F" w:rsidRDefault="000A739F" w:rsidP="000A739F">
            <w:pPr>
              <w:jc w:val="both"/>
              <w:rPr>
                <w:rFonts w:ascii="Arial" w:hAnsi="Arial" w:cs="Arial"/>
              </w:rPr>
            </w:pPr>
            <w:r w:rsidRPr="000A739F">
              <w:rPr>
                <w:rFonts w:ascii="Arial" w:hAnsi="Arial" w:cs="Arial"/>
              </w:rPr>
              <w:t>-11%</w:t>
            </w:r>
          </w:p>
        </w:tc>
      </w:tr>
      <w:tr w:rsidR="007C0D4A" w:rsidRPr="000A739F" w14:paraId="0D423F26" w14:textId="77777777" w:rsidTr="007C0D4A">
        <w:trPr>
          <w:trHeight w:val="345"/>
        </w:trPr>
        <w:tc>
          <w:tcPr>
            <w:tcW w:w="2967"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60EDC918" w14:textId="77777777" w:rsidR="000A739F" w:rsidRPr="000A739F" w:rsidRDefault="000A739F" w:rsidP="000A739F">
            <w:pPr>
              <w:jc w:val="both"/>
              <w:rPr>
                <w:rFonts w:ascii="Arial" w:hAnsi="Arial" w:cs="Arial"/>
              </w:rPr>
            </w:pPr>
            <w:r w:rsidRPr="000A739F">
              <w:rPr>
                <w:rFonts w:ascii="Arial" w:hAnsi="Arial" w:cs="Arial"/>
              </w:rPr>
              <w:t>Airbus Defence and Space</w:t>
            </w:r>
          </w:p>
        </w:tc>
        <w:tc>
          <w:tcPr>
            <w:tcW w:w="851"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1D4885DF" w14:textId="77777777" w:rsidR="000A739F" w:rsidRPr="000A739F" w:rsidRDefault="000A739F" w:rsidP="000A739F">
            <w:pPr>
              <w:jc w:val="both"/>
              <w:rPr>
                <w:rFonts w:ascii="Arial" w:hAnsi="Arial" w:cs="Arial"/>
              </w:rPr>
            </w:pPr>
            <w:r w:rsidRPr="000A739F">
              <w:rPr>
                <w:rFonts w:ascii="Arial" w:hAnsi="Arial" w:cs="Arial"/>
                <w:b/>
                <w:bCs/>
              </w:rPr>
              <w:t>2,354</w:t>
            </w:r>
          </w:p>
        </w:tc>
        <w:tc>
          <w:tcPr>
            <w:tcW w:w="952"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024481ED" w14:textId="77777777" w:rsidR="000A739F" w:rsidRPr="000A739F" w:rsidRDefault="000A739F" w:rsidP="000A739F">
            <w:pPr>
              <w:jc w:val="both"/>
              <w:rPr>
                <w:rFonts w:ascii="Arial" w:hAnsi="Arial" w:cs="Arial"/>
              </w:rPr>
            </w:pPr>
            <w:r w:rsidRPr="000A739F">
              <w:rPr>
                <w:rFonts w:ascii="Arial" w:hAnsi="Arial" w:cs="Arial"/>
              </w:rPr>
              <w:t>2,603</w:t>
            </w:r>
          </w:p>
        </w:tc>
        <w:tc>
          <w:tcPr>
            <w:tcW w:w="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19390045" w14:textId="77777777" w:rsidR="000A739F" w:rsidRPr="000A739F" w:rsidRDefault="000A739F" w:rsidP="000A739F">
            <w:pPr>
              <w:jc w:val="both"/>
              <w:rPr>
                <w:rFonts w:ascii="Arial" w:hAnsi="Arial" w:cs="Arial"/>
              </w:rPr>
            </w:pPr>
            <w:r w:rsidRPr="000A739F">
              <w:rPr>
                <w:rFonts w:ascii="Arial" w:hAnsi="Arial" w:cs="Arial"/>
              </w:rPr>
              <w:t>-10%</w:t>
            </w:r>
          </w:p>
        </w:tc>
        <w:tc>
          <w:tcPr>
            <w:tcW w:w="99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3ACC2020" w14:textId="77777777" w:rsidR="000A739F" w:rsidRPr="000A739F" w:rsidRDefault="000A739F" w:rsidP="000A739F">
            <w:pPr>
              <w:jc w:val="both"/>
              <w:rPr>
                <w:rFonts w:ascii="Arial" w:hAnsi="Arial" w:cs="Arial"/>
              </w:rPr>
            </w:pPr>
            <w:r w:rsidRPr="000A739F">
              <w:rPr>
                <w:rFonts w:ascii="Arial" w:hAnsi="Arial" w:cs="Arial"/>
                <w:b/>
                <w:bCs/>
              </w:rPr>
              <w:t>51</w:t>
            </w:r>
          </w:p>
        </w:tc>
        <w:tc>
          <w:tcPr>
            <w:tcW w:w="99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3F939ED" w14:textId="77777777" w:rsidR="000A739F" w:rsidRPr="000A739F" w:rsidRDefault="000A739F" w:rsidP="000A739F">
            <w:pPr>
              <w:jc w:val="both"/>
              <w:rPr>
                <w:rFonts w:ascii="Arial" w:hAnsi="Arial" w:cs="Arial"/>
              </w:rPr>
            </w:pPr>
            <w:r w:rsidRPr="000A739F">
              <w:rPr>
                <w:rFonts w:ascii="Arial" w:hAnsi="Arial" w:cs="Arial"/>
              </w:rPr>
              <w:t>-208</w:t>
            </w:r>
          </w:p>
        </w:tc>
        <w:tc>
          <w:tcPr>
            <w:tcW w:w="1077"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B300BD1" w14:textId="77777777" w:rsidR="000A739F" w:rsidRPr="000A739F" w:rsidRDefault="000A739F" w:rsidP="000A739F">
            <w:pPr>
              <w:jc w:val="both"/>
              <w:rPr>
                <w:rFonts w:ascii="Arial" w:hAnsi="Arial" w:cs="Arial"/>
              </w:rPr>
            </w:pPr>
            <w:r w:rsidRPr="000A739F">
              <w:rPr>
                <w:rFonts w:ascii="Arial" w:hAnsi="Arial" w:cs="Arial"/>
              </w:rPr>
              <w:t>-</w:t>
            </w:r>
          </w:p>
        </w:tc>
      </w:tr>
      <w:tr w:rsidR="007C0D4A" w:rsidRPr="000A739F" w14:paraId="15981293" w14:textId="77777777" w:rsidTr="007C0D4A">
        <w:trPr>
          <w:trHeight w:val="570"/>
        </w:trPr>
        <w:tc>
          <w:tcPr>
            <w:tcW w:w="2967"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417D4FB3" w14:textId="35C0CACC" w:rsidR="000A739F" w:rsidRPr="000A739F" w:rsidRDefault="000A739F" w:rsidP="000A739F">
            <w:pPr>
              <w:jc w:val="both"/>
              <w:rPr>
                <w:rFonts w:ascii="Arial" w:hAnsi="Arial" w:cs="Arial"/>
              </w:rPr>
            </w:pPr>
            <w:r w:rsidRPr="000A739F">
              <w:rPr>
                <w:rFonts w:ascii="Arial" w:hAnsi="Arial" w:cs="Arial"/>
              </w:rPr>
              <w:t>Elimina</w:t>
            </w:r>
            <w:r w:rsidRPr="002A714F">
              <w:rPr>
                <w:rFonts w:ascii="Arial" w:hAnsi="Arial" w:cs="Arial"/>
              </w:rPr>
              <w:t>ciones</w:t>
            </w:r>
          </w:p>
        </w:tc>
        <w:tc>
          <w:tcPr>
            <w:tcW w:w="851"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7F675705" w14:textId="77777777" w:rsidR="000A739F" w:rsidRPr="000A739F" w:rsidRDefault="000A739F" w:rsidP="000A739F">
            <w:pPr>
              <w:jc w:val="both"/>
              <w:rPr>
                <w:rFonts w:ascii="Arial" w:hAnsi="Arial" w:cs="Arial"/>
              </w:rPr>
            </w:pPr>
            <w:r w:rsidRPr="000A739F">
              <w:rPr>
                <w:rFonts w:ascii="Arial" w:hAnsi="Arial" w:cs="Arial"/>
                <w:b/>
                <w:bCs/>
              </w:rPr>
              <w:t>-289</w:t>
            </w:r>
          </w:p>
        </w:tc>
        <w:tc>
          <w:tcPr>
            <w:tcW w:w="952"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3A826895" w14:textId="77777777" w:rsidR="000A739F" w:rsidRPr="000A739F" w:rsidRDefault="000A739F" w:rsidP="000A739F">
            <w:pPr>
              <w:jc w:val="both"/>
              <w:rPr>
                <w:rFonts w:ascii="Arial" w:hAnsi="Arial" w:cs="Arial"/>
              </w:rPr>
            </w:pPr>
            <w:r w:rsidRPr="000A739F">
              <w:rPr>
                <w:rFonts w:ascii="Arial" w:hAnsi="Arial" w:cs="Arial"/>
              </w:rPr>
              <w:t>-264</w:t>
            </w:r>
          </w:p>
        </w:tc>
        <w:tc>
          <w:tcPr>
            <w:tcW w:w="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37F2E915" w14:textId="77777777" w:rsidR="000A739F" w:rsidRPr="000A739F" w:rsidRDefault="000A739F" w:rsidP="000A739F">
            <w:pPr>
              <w:jc w:val="both"/>
              <w:rPr>
                <w:rFonts w:ascii="Arial" w:hAnsi="Arial" w:cs="Arial"/>
              </w:rPr>
            </w:pPr>
            <w:r w:rsidRPr="000A739F">
              <w:rPr>
                <w:rFonts w:ascii="Arial" w:hAnsi="Arial" w:cs="Arial"/>
              </w:rPr>
              <w:t>-</w:t>
            </w:r>
          </w:p>
        </w:tc>
        <w:tc>
          <w:tcPr>
            <w:tcW w:w="99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7CE49302" w14:textId="77777777" w:rsidR="000A739F" w:rsidRPr="000A739F" w:rsidRDefault="000A739F" w:rsidP="000A739F">
            <w:pPr>
              <w:jc w:val="both"/>
              <w:rPr>
                <w:rFonts w:ascii="Arial" w:hAnsi="Arial" w:cs="Arial"/>
              </w:rPr>
            </w:pPr>
            <w:r w:rsidRPr="000A739F">
              <w:rPr>
                <w:rFonts w:ascii="Arial" w:hAnsi="Arial" w:cs="Arial"/>
                <w:b/>
                <w:bCs/>
              </w:rPr>
              <w:t>9</w:t>
            </w:r>
          </w:p>
        </w:tc>
        <w:tc>
          <w:tcPr>
            <w:tcW w:w="99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67E89F65" w14:textId="77777777" w:rsidR="000A739F" w:rsidRPr="000A739F" w:rsidRDefault="000A739F" w:rsidP="000A739F">
            <w:pPr>
              <w:jc w:val="both"/>
              <w:rPr>
                <w:rFonts w:ascii="Arial" w:hAnsi="Arial" w:cs="Arial"/>
              </w:rPr>
            </w:pPr>
            <w:r w:rsidRPr="000A739F">
              <w:rPr>
                <w:rFonts w:ascii="Arial" w:hAnsi="Arial" w:cs="Arial"/>
              </w:rPr>
              <w:t>-3</w:t>
            </w:r>
          </w:p>
        </w:tc>
        <w:tc>
          <w:tcPr>
            <w:tcW w:w="1077"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6237E6A4" w14:textId="77777777" w:rsidR="000A739F" w:rsidRPr="000A739F" w:rsidRDefault="000A739F" w:rsidP="000A739F">
            <w:pPr>
              <w:jc w:val="both"/>
              <w:rPr>
                <w:rFonts w:ascii="Arial" w:hAnsi="Arial" w:cs="Arial"/>
              </w:rPr>
            </w:pPr>
            <w:r w:rsidRPr="000A739F">
              <w:rPr>
                <w:rFonts w:ascii="Arial" w:hAnsi="Arial" w:cs="Arial"/>
              </w:rPr>
              <w:t>-</w:t>
            </w:r>
          </w:p>
        </w:tc>
      </w:tr>
      <w:tr w:rsidR="007C0D4A" w:rsidRPr="000A739F" w14:paraId="04168A40" w14:textId="77777777" w:rsidTr="007C0D4A">
        <w:trPr>
          <w:trHeight w:val="345"/>
        </w:trPr>
        <w:tc>
          <w:tcPr>
            <w:tcW w:w="2967"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060D4196" w14:textId="77777777" w:rsidR="000A739F" w:rsidRPr="000A739F" w:rsidRDefault="000A739F" w:rsidP="000A739F">
            <w:pPr>
              <w:jc w:val="both"/>
              <w:rPr>
                <w:rFonts w:ascii="Arial" w:hAnsi="Arial" w:cs="Arial"/>
              </w:rPr>
            </w:pPr>
            <w:r w:rsidRPr="000A739F">
              <w:rPr>
                <w:rFonts w:ascii="Arial" w:hAnsi="Arial" w:cs="Arial"/>
                <w:b/>
                <w:bCs/>
              </w:rPr>
              <w:t>Total</w:t>
            </w:r>
          </w:p>
        </w:tc>
        <w:tc>
          <w:tcPr>
            <w:tcW w:w="851"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4599C31A" w14:textId="77777777" w:rsidR="000A739F" w:rsidRPr="000A739F" w:rsidRDefault="000A739F" w:rsidP="000A739F">
            <w:pPr>
              <w:jc w:val="both"/>
              <w:rPr>
                <w:rFonts w:ascii="Arial" w:hAnsi="Arial" w:cs="Arial"/>
              </w:rPr>
            </w:pPr>
            <w:r w:rsidRPr="000A739F">
              <w:rPr>
                <w:rFonts w:ascii="Arial" w:hAnsi="Arial" w:cs="Arial"/>
                <w:b/>
                <w:bCs/>
              </w:rPr>
              <w:t>15,900</w:t>
            </w:r>
          </w:p>
        </w:tc>
        <w:tc>
          <w:tcPr>
            <w:tcW w:w="952"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36DE8B58" w14:textId="77777777" w:rsidR="000A739F" w:rsidRPr="000A739F" w:rsidRDefault="000A739F" w:rsidP="000A739F">
            <w:pPr>
              <w:jc w:val="both"/>
              <w:rPr>
                <w:rFonts w:ascii="Arial" w:hAnsi="Arial" w:cs="Arial"/>
              </w:rPr>
            </w:pPr>
            <w:r w:rsidRPr="000A739F">
              <w:rPr>
                <w:rFonts w:ascii="Arial" w:hAnsi="Arial" w:cs="Arial"/>
              </w:rPr>
              <w:t>12,810</w:t>
            </w:r>
          </w:p>
        </w:tc>
        <w:tc>
          <w:tcPr>
            <w:tcW w:w="981"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12949313" w14:textId="77777777" w:rsidR="000A739F" w:rsidRPr="000A739F" w:rsidRDefault="000A739F" w:rsidP="000A739F">
            <w:pPr>
              <w:jc w:val="both"/>
              <w:rPr>
                <w:rFonts w:ascii="Arial" w:hAnsi="Arial" w:cs="Arial"/>
              </w:rPr>
            </w:pPr>
            <w:r w:rsidRPr="000A739F">
              <w:rPr>
                <w:rFonts w:ascii="Arial" w:hAnsi="Arial" w:cs="Arial"/>
              </w:rPr>
              <w:t>+24%</w:t>
            </w:r>
          </w:p>
        </w:tc>
        <w:tc>
          <w:tcPr>
            <w:tcW w:w="995"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68DB0D27" w14:textId="77777777" w:rsidR="000A739F" w:rsidRPr="000A739F" w:rsidRDefault="000A739F" w:rsidP="000A739F">
            <w:pPr>
              <w:jc w:val="both"/>
              <w:rPr>
                <w:rFonts w:ascii="Arial" w:hAnsi="Arial" w:cs="Arial"/>
              </w:rPr>
            </w:pPr>
            <w:r w:rsidRPr="000A739F">
              <w:rPr>
                <w:rFonts w:ascii="Arial" w:hAnsi="Arial" w:cs="Arial"/>
                <w:b/>
                <w:bCs/>
              </w:rPr>
              <w:t>1,497</w:t>
            </w:r>
          </w:p>
        </w:tc>
        <w:tc>
          <w:tcPr>
            <w:tcW w:w="995"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3694756C" w14:textId="77777777" w:rsidR="000A739F" w:rsidRPr="000A739F" w:rsidRDefault="000A739F" w:rsidP="000A739F">
            <w:pPr>
              <w:jc w:val="both"/>
              <w:rPr>
                <w:rFonts w:ascii="Arial" w:hAnsi="Arial" w:cs="Arial"/>
              </w:rPr>
            </w:pPr>
            <w:r w:rsidRPr="000A739F">
              <w:rPr>
                <w:rFonts w:ascii="Arial" w:hAnsi="Arial" w:cs="Arial"/>
              </w:rPr>
              <w:t>1,150</w:t>
            </w:r>
          </w:p>
        </w:tc>
        <w:tc>
          <w:tcPr>
            <w:tcW w:w="1077"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78698B6B" w14:textId="77777777" w:rsidR="000A739F" w:rsidRPr="000A739F" w:rsidRDefault="000A739F" w:rsidP="000A739F">
            <w:pPr>
              <w:jc w:val="both"/>
              <w:rPr>
                <w:rFonts w:ascii="Arial" w:hAnsi="Arial" w:cs="Arial"/>
              </w:rPr>
            </w:pPr>
            <w:r w:rsidRPr="000A739F">
              <w:rPr>
                <w:rFonts w:ascii="Arial" w:hAnsi="Arial" w:cs="Arial"/>
              </w:rPr>
              <w:t>+30%</w:t>
            </w:r>
          </w:p>
        </w:tc>
      </w:tr>
    </w:tbl>
    <w:p w14:paraId="5643EC5C" w14:textId="77777777" w:rsidR="000A739F" w:rsidRPr="002A714F" w:rsidRDefault="000A739F" w:rsidP="000D769F">
      <w:pPr>
        <w:jc w:val="both"/>
        <w:rPr>
          <w:rFonts w:ascii="Arial" w:hAnsi="Arial" w:cs="Arial"/>
        </w:rPr>
      </w:pPr>
    </w:p>
    <w:tbl>
      <w:tblPr>
        <w:tblW w:w="8818" w:type="dxa"/>
        <w:tblCellMar>
          <w:left w:w="0" w:type="dxa"/>
          <w:right w:w="0" w:type="dxa"/>
        </w:tblCellMar>
        <w:tblLook w:val="04A0" w:firstRow="1" w:lastRow="0" w:firstColumn="1" w:lastColumn="0" w:noHBand="0" w:noVBand="1"/>
      </w:tblPr>
      <w:tblGrid>
        <w:gridCol w:w="3392"/>
        <w:gridCol w:w="1068"/>
        <w:gridCol w:w="2159"/>
        <w:gridCol w:w="2199"/>
      </w:tblGrid>
      <w:tr w:rsidR="000A739F" w:rsidRPr="002A714F" w14:paraId="5A16AEC9" w14:textId="77777777" w:rsidTr="007C0D4A">
        <w:trPr>
          <w:trHeight w:val="495"/>
        </w:trPr>
        <w:tc>
          <w:tcPr>
            <w:tcW w:w="3392" w:type="dxa"/>
            <w:tcBorders>
              <w:top w:val="single" w:sz="8" w:space="0" w:color="000000"/>
              <w:left w:val="single" w:sz="8" w:space="0" w:color="000000"/>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1A74C7CB" w14:textId="169016BD" w:rsidR="000A739F" w:rsidRPr="007C0D4A" w:rsidRDefault="007C0D4A">
            <w:pPr>
              <w:spacing w:line="276" w:lineRule="auto"/>
              <w:rPr>
                <w:rFonts w:ascii="Arial" w:hAnsi="Arial" w:cs="Arial"/>
                <w:b/>
                <w:bCs/>
                <w:color w:val="000000"/>
              </w:rPr>
            </w:pPr>
            <w:r>
              <w:rPr>
                <w:rFonts w:ascii="Arial" w:hAnsi="Arial" w:cs="Arial"/>
                <w:b/>
                <w:bCs/>
                <w:color w:val="000000"/>
              </w:rPr>
              <w:t>Por Segmento de Negocio</w:t>
            </w:r>
          </w:p>
        </w:tc>
        <w:tc>
          <w:tcPr>
            <w:tcW w:w="5426" w:type="dxa"/>
            <w:gridSpan w:val="3"/>
            <w:tcBorders>
              <w:top w:val="single" w:sz="8" w:space="0" w:color="000000"/>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0D2185CD" w14:textId="6DA2AA4A" w:rsidR="000A739F" w:rsidRPr="002A714F" w:rsidRDefault="000A739F">
            <w:pPr>
              <w:spacing w:line="276" w:lineRule="auto"/>
              <w:rPr>
                <w:rFonts w:ascii="Arial" w:hAnsi="Arial" w:cs="Arial"/>
                <w:color w:val="000000"/>
              </w:rPr>
            </w:pPr>
            <w:r w:rsidRPr="002A714F">
              <w:rPr>
                <w:rFonts w:ascii="Arial" w:hAnsi="Arial" w:cs="Arial"/>
                <w:b/>
                <w:bCs/>
                <w:color w:val="000000"/>
              </w:rPr>
              <w:t>EBIT A</w:t>
            </w:r>
            <w:r w:rsidR="00D457F3" w:rsidRPr="002A714F">
              <w:rPr>
                <w:rFonts w:ascii="Arial" w:hAnsi="Arial" w:cs="Arial"/>
                <w:b/>
                <w:bCs/>
                <w:color w:val="000000"/>
              </w:rPr>
              <w:t>justado</w:t>
            </w:r>
          </w:p>
        </w:tc>
      </w:tr>
      <w:tr w:rsidR="000A739F" w:rsidRPr="002A714F" w14:paraId="23D5F0A7" w14:textId="77777777" w:rsidTr="007C0D4A">
        <w:trPr>
          <w:trHeight w:val="585"/>
        </w:trPr>
        <w:tc>
          <w:tcPr>
            <w:tcW w:w="3392"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333C4065" w14:textId="618C351E" w:rsidR="000A739F" w:rsidRPr="002A714F" w:rsidRDefault="000A739F">
            <w:pPr>
              <w:spacing w:line="276" w:lineRule="auto"/>
              <w:rPr>
                <w:rFonts w:ascii="Arial" w:hAnsi="Arial" w:cs="Arial"/>
                <w:color w:val="000000"/>
              </w:rPr>
            </w:pPr>
            <w:r w:rsidRPr="002A714F">
              <w:rPr>
                <w:rFonts w:ascii="Arial" w:hAnsi="Arial" w:cs="Arial"/>
                <w:color w:val="000000"/>
              </w:rPr>
              <w:lastRenderedPageBreak/>
              <w:t>(</w:t>
            </w:r>
            <w:r w:rsidR="007C0D4A">
              <w:rPr>
                <w:rFonts w:ascii="Arial" w:hAnsi="Arial" w:cs="Arial"/>
                <w:color w:val="000000"/>
              </w:rPr>
              <w:t xml:space="preserve">Montos </w:t>
            </w:r>
            <w:r w:rsidR="00D457F3" w:rsidRPr="002A714F">
              <w:rPr>
                <w:rFonts w:ascii="Arial" w:hAnsi="Arial" w:cs="Arial"/>
                <w:color w:val="000000"/>
              </w:rPr>
              <w:t>en millones de Euros)</w:t>
            </w:r>
          </w:p>
        </w:tc>
        <w:tc>
          <w:tcPr>
            <w:tcW w:w="1068"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297F2155"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Q2 2023</w:t>
            </w:r>
          </w:p>
        </w:tc>
        <w:tc>
          <w:tcPr>
            <w:tcW w:w="215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0D2E8E07" w14:textId="77777777" w:rsidR="000A739F" w:rsidRPr="002A714F" w:rsidRDefault="000A739F">
            <w:pPr>
              <w:spacing w:line="276" w:lineRule="auto"/>
              <w:rPr>
                <w:rFonts w:ascii="Arial" w:hAnsi="Arial" w:cs="Arial"/>
                <w:color w:val="000000"/>
              </w:rPr>
            </w:pPr>
            <w:r w:rsidRPr="002A714F">
              <w:rPr>
                <w:rFonts w:ascii="Arial" w:hAnsi="Arial" w:cs="Arial"/>
                <w:color w:val="000000"/>
              </w:rPr>
              <w:t>Q2 2022</w:t>
            </w:r>
          </w:p>
        </w:tc>
        <w:tc>
          <w:tcPr>
            <w:tcW w:w="219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E0B5558" w14:textId="1C524BA3" w:rsidR="000A739F" w:rsidRPr="002A714F" w:rsidRDefault="000A739F">
            <w:pPr>
              <w:spacing w:line="276" w:lineRule="auto"/>
              <w:rPr>
                <w:rFonts w:ascii="Arial" w:hAnsi="Arial" w:cs="Arial"/>
                <w:color w:val="000000"/>
              </w:rPr>
            </w:pPr>
            <w:r w:rsidRPr="002A714F">
              <w:rPr>
                <w:rFonts w:ascii="Arial" w:hAnsi="Arial" w:cs="Arial"/>
                <w:color w:val="000000"/>
              </w:rPr>
              <w:t>C</w:t>
            </w:r>
            <w:r w:rsidR="007C0D4A">
              <w:rPr>
                <w:rFonts w:ascii="Arial" w:hAnsi="Arial" w:cs="Arial"/>
                <w:color w:val="000000"/>
              </w:rPr>
              <w:t>ambio</w:t>
            </w:r>
          </w:p>
        </w:tc>
      </w:tr>
      <w:tr w:rsidR="000A739F" w:rsidRPr="002A714F" w14:paraId="59B0BD58" w14:textId="77777777" w:rsidTr="007C0D4A">
        <w:trPr>
          <w:trHeight w:val="405"/>
        </w:trPr>
        <w:tc>
          <w:tcPr>
            <w:tcW w:w="3392"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617E0EC8" w14:textId="77777777" w:rsidR="000A739F" w:rsidRPr="002A714F" w:rsidRDefault="000A739F">
            <w:pPr>
              <w:spacing w:line="276" w:lineRule="auto"/>
              <w:rPr>
                <w:rFonts w:ascii="Arial" w:hAnsi="Arial" w:cs="Arial"/>
                <w:color w:val="000000"/>
              </w:rPr>
            </w:pPr>
            <w:r w:rsidRPr="002A714F">
              <w:rPr>
                <w:rFonts w:ascii="Arial" w:hAnsi="Arial" w:cs="Arial"/>
                <w:color w:val="000000"/>
              </w:rPr>
              <w:t>Airbus</w:t>
            </w:r>
          </w:p>
        </w:tc>
        <w:tc>
          <w:tcPr>
            <w:tcW w:w="1068"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3C09FFE0"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1,676</w:t>
            </w:r>
          </w:p>
        </w:tc>
        <w:tc>
          <w:tcPr>
            <w:tcW w:w="215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66A9F975" w14:textId="77777777" w:rsidR="000A739F" w:rsidRPr="002A714F" w:rsidRDefault="000A739F">
            <w:pPr>
              <w:spacing w:line="276" w:lineRule="auto"/>
              <w:rPr>
                <w:rFonts w:ascii="Arial" w:hAnsi="Arial" w:cs="Arial"/>
                <w:color w:val="000000"/>
              </w:rPr>
            </w:pPr>
            <w:r w:rsidRPr="002A714F">
              <w:rPr>
                <w:rFonts w:ascii="Arial" w:hAnsi="Arial" w:cs="Arial"/>
                <w:color w:val="000000"/>
              </w:rPr>
              <w:t>1,211</w:t>
            </w:r>
          </w:p>
        </w:tc>
        <w:tc>
          <w:tcPr>
            <w:tcW w:w="219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21D3E97A" w14:textId="77777777" w:rsidR="000A739F" w:rsidRPr="002A714F" w:rsidRDefault="000A739F">
            <w:pPr>
              <w:spacing w:line="276" w:lineRule="auto"/>
              <w:rPr>
                <w:rFonts w:ascii="Arial" w:hAnsi="Arial" w:cs="Arial"/>
                <w:color w:val="000000"/>
              </w:rPr>
            </w:pPr>
            <w:r w:rsidRPr="002A714F">
              <w:rPr>
                <w:rFonts w:ascii="Arial" w:hAnsi="Arial" w:cs="Arial"/>
                <w:color w:val="000000"/>
              </w:rPr>
              <w:t>+38%</w:t>
            </w:r>
          </w:p>
        </w:tc>
      </w:tr>
      <w:tr w:rsidR="000A739F" w:rsidRPr="002A714F" w14:paraId="4F5D0900" w14:textId="77777777" w:rsidTr="007C0D4A">
        <w:trPr>
          <w:trHeight w:val="345"/>
        </w:trPr>
        <w:tc>
          <w:tcPr>
            <w:tcW w:w="3392"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6C5CB281" w14:textId="77777777" w:rsidR="000A739F" w:rsidRPr="002A714F" w:rsidRDefault="000A739F">
            <w:pPr>
              <w:spacing w:line="276" w:lineRule="auto"/>
              <w:rPr>
                <w:rFonts w:ascii="Arial" w:hAnsi="Arial" w:cs="Arial"/>
                <w:color w:val="000000"/>
              </w:rPr>
            </w:pPr>
            <w:r w:rsidRPr="002A714F">
              <w:rPr>
                <w:rFonts w:ascii="Arial" w:hAnsi="Arial" w:cs="Arial"/>
                <w:color w:val="000000"/>
              </w:rPr>
              <w:t>Airbus Helicopters</w:t>
            </w:r>
          </w:p>
        </w:tc>
        <w:tc>
          <w:tcPr>
            <w:tcW w:w="1068"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3B390164"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118</w:t>
            </w:r>
          </w:p>
        </w:tc>
        <w:tc>
          <w:tcPr>
            <w:tcW w:w="215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14F71CFE" w14:textId="77777777" w:rsidR="000A739F" w:rsidRPr="002A714F" w:rsidRDefault="000A739F">
            <w:pPr>
              <w:spacing w:line="276" w:lineRule="auto"/>
              <w:rPr>
                <w:rFonts w:ascii="Arial" w:hAnsi="Arial" w:cs="Arial"/>
                <w:color w:val="000000"/>
              </w:rPr>
            </w:pPr>
            <w:r w:rsidRPr="002A714F">
              <w:rPr>
                <w:rFonts w:ascii="Arial" w:hAnsi="Arial" w:cs="Arial"/>
                <w:color w:val="000000"/>
              </w:rPr>
              <w:t>125</w:t>
            </w:r>
          </w:p>
        </w:tc>
        <w:tc>
          <w:tcPr>
            <w:tcW w:w="219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671FF092" w14:textId="77777777" w:rsidR="000A739F" w:rsidRPr="002A714F" w:rsidRDefault="000A739F">
            <w:pPr>
              <w:spacing w:line="276" w:lineRule="auto"/>
              <w:rPr>
                <w:rFonts w:ascii="Arial" w:hAnsi="Arial" w:cs="Arial"/>
                <w:color w:val="000000"/>
              </w:rPr>
            </w:pPr>
            <w:r w:rsidRPr="002A714F">
              <w:rPr>
                <w:rFonts w:ascii="Arial" w:hAnsi="Arial" w:cs="Arial"/>
                <w:color w:val="000000"/>
              </w:rPr>
              <w:t>-6%</w:t>
            </w:r>
          </w:p>
        </w:tc>
      </w:tr>
      <w:tr w:rsidR="000A739F" w:rsidRPr="002A714F" w14:paraId="0961B3B3" w14:textId="77777777" w:rsidTr="007C0D4A">
        <w:trPr>
          <w:trHeight w:val="345"/>
        </w:trPr>
        <w:tc>
          <w:tcPr>
            <w:tcW w:w="3392"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3F2F176C" w14:textId="77777777" w:rsidR="000A739F" w:rsidRPr="002A714F" w:rsidRDefault="000A739F">
            <w:pPr>
              <w:spacing w:line="276" w:lineRule="auto"/>
              <w:rPr>
                <w:rFonts w:ascii="Arial" w:hAnsi="Arial" w:cs="Arial"/>
                <w:color w:val="000000"/>
              </w:rPr>
            </w:pPr>
            <w:r w:rsidRPr="002A714F">
              <w:rPr>
                <w:rFonts w:ascii="Arial" w:hAnsi="Arial" w:cs="Arial"/>
                <w:color w:val="000000"/>
              </w:rPr>
              <w:t>Airbus Defence and Space</w:t>
            </w:r>
          </w:p>
        </w:tc>
        <w:tc>
          <w:tcPr>
            <w:tcW w:w="1068"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0CA25C96"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42</w:t>
            </w:r>
          </w:p>
        </w:tc>
        <w:tc>
          <w:tcPr>
            <w:tcW w:w="215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BC68B82" w14:textId="77777777" w:rsidR="000A739F" w:rsidRPr="002A714F" w:rsidRDefault="000A739F">
            <w:pPr>
              <w:spacing w:line="276" w:lineRule="auto"/>
              <w:rPr>
                <w:rFonts w:ascii="Arial" w:hAnsi="Arial" w:cs="Arial"/>
                <w:color w:val="000000"/>
              </w:rPr>
            </w:pPr>
            <w:r w:rsidRPr="002A714F">
              <w:rPr>
                <w:rFonts w:ascii="Arial" w:hAnsi="Arial" w:cs="Arial"/>
                <w:color w:val="000000"/>
              </w:rPr>
              <w:t>49</w:t>
            </w:r>
          </w:p>
        </w:tc>
        <w:tc>
          <w:tcPr>
            <w:tcW w:w="219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1AE2C9BA" w14:textId="77777777" w:rsidR="000A739F" w:rsidRPr="002A714F" w:rsidRDefault="000A739F">
            <w:pPr>
              <w:spacing w:line="276" w:lineRule="auto"/>
              <w:rPr>
                <w:rFonts w:ascii="Arial" w:hAnsi="Arial" w:cs="Arial"/>
                <w:color w:val="000000"/>
              </w:rPr>
            </w:pPr>
            <w:r w:rsidRPr="002A714F">
              <w:rPr>
                <w:rFonts w:ascii="Arial" w:hAnsi="Arial" w:cs="Arial"/>
                <w:color w:val="000000"/>
              </w:rPr>
              <w:t>-14%</w:t>
            </w:r>
          </w:p>
        </w:tc>
      </w:tr>
      <w:tr w:rsidR="000A739F" w:rsidRPr="002A714F" w14:paraId="77ECF896" w14:textId="77777777" w:rsidTr="007C0D4A">
        <w:trPr>
          <w:trHeight w:val="570"/>
        </w:trPr>
        <w:tc>
          <w:tcPr>
            <w:tcW w:w="3392"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04378650" w14:textId="3723C55A" w:rsidR="000A739F" w:rsidRPr="002A714F" w:rsidRDefault="000A739F">
            <w:pPr>
              <w:spacing w:line="276" w:lineRule="auto"/>
              <w:rPr>
                <w:rFonts w:ascii="Arial" w:hAnsi="Arial" w:cs="Arial"/>
                <w:color w:val="000000"/>
              </w:rPr>
            </w:pPr>
            <w:r w:rsidRPr="002A714F">
              <w:rPr>
                <w:rFonts w:ascii="Arial" w:hAnsi="Arial" w:cs="Arial"/>
                <w:color w:val="000000"/>
              </w:rPr>
              <w:t>Elimina</w:t>
            </w:r>
            <w:r w:rsidR="00D457F3" w:rsidRPr="002A714F">
              <w:rPr>
                <w:rFonts w:ascii="Arial" w:hAnsi="Arial" w:cs="Arial"/>
                <w:color w:val="000000"/>
              </w:rPr>
              <w:t>ciones</w:t>
            </w:r>
          </w:p>
        </w:tc>
        <w:tc>
          <w:tcPr>
            <w:tcW w:w="1068"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61286BF3"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9</w:t>
            </w:r>
          </w:p>
        </w:tc>
        <w:tc>
          <w:tcPr>
            <w:tcW w:w="215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66C22EA7" w14:textId="77777777" w:rsidR="000A739F" w:rsidRPr="002A714F" w:rsidRDefault="000A739F">
            <w:pPr>
              <w:spacing w:line="276" w:lineRule="auto"/>
              <w:rPr>
                <w:rFonts w:ascii="Arial" w:hAnsi="Arial" w:cs="Arial"/>
                <w:color w:val="000000"/>
              </w:rPr>
            </w:pPr>
            <w:r w:rsidRPr="002A714F">
              <w:rPr>
                <w:rFonts w:ascii="Arial" w:hAnsi="Arial" w:cs="Arial"/>
                <w:color w:val="000000"/>
              </w:rPr>
              <w:t>-3</w:t>
            </w:r>
          </w:p>
        </w:tc>
        <w:tc>
          <w:tcPr>
            <w:tcW w:w="219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4284B3A7" w14:textId="77777777" w:rsidR="000A739F" w:rsidRPr="002A714F" w:rsidRDefault="000A739F">
            <w:pPr>
              <w:spacing w:line="276" w:lineRule="auto"/>
              <w:rPr>
                <w:rFonts w:ascii="Arial" w:hAnsi="Arial" w:cs="Arial"/>
                <w:color w:val="000000"/>
              </w:rPr>
            </w:pPr>
            <w:r w:rsidRPr="002A714F">
              <w:rPr>
                <w:rFonts w:ascii="Arial" w:hAnsi="Arial" w:cs="Arial"/>
                <w:color w:val="000000"/>
              </w:rPr>
              <w:t>-</w:t>
            </w:r>
          </w:p>
        </w:tc>
      </w:tr>
      <w:tr w:rsidR="000A739F" w:rsidRPr="002A714F" w14:paraId="3BB9F76E" w14:textId="77777777" w:rsidTr="007C0D4A">
        <w:trPr>
          <w:trHeight w:val="345"/>
        </w:trPr>
        <w:tc>
          <w:tcPr>
            <w:tcW w:w="3392" w:type="dxa"/>
            <w:tcBorders>
              <w:top w:val="nil"/>
              <w:left w:val="single" w:sz="8" w:space="0" w:color="000000"/>
              <w:bottom w:val="single" w:sz="8" w:space="0" w:color="000000"/>
              <w:right w:val="single" w:sz="8" w:space="0" w:color="000000"/>
            </w:tcBorders>
            <w:tcMar>
              <w:top w:w="0" w:type="dxa"/>
              <w:left w:w="105" w:type="dxa"/>
              <w:bottom w:w="0" w:type="dxa"/>
              <w:right w:w="105" w:type="dxa"/>
            </w:tcMar>
            <w:vAlign w:val="center"/>
            <w:hideMark/>
          </w:tcPr>
          <w:p w14:paraId="59099A69"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Total</w:t>
            </w:r>
          </w:p>
        </w:tc>
        <w:tc>
          <w:tcPr>
            <w:tcW w:w="1068"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60759B2A" w14:textId="77777777" w:rsidR="000A739F" w:rsidRPr="002A714F" w:rsidRDefault="000A739F">
            <w:pPr>
              <w:spacing w:line="276" w:lineRule="auto"/>
              <w:rPr>
                <w:rFonts w:ascii="Arial" w:hAnsi="Arial" w:cs="Arial"/>
                <w:color w:val="000000"/>
              </w:rPr>
            </w:pPr>
            <w:r w:rsidRPr="002A714F">
              <w:rPr>
                <w:rFonts w:ascii="Arial" w:hAnsi="Arial" w:cs="Arial"/>
                <w:b/>
                <w:bCs/>
                <w:color w:val="000000"/>
              </w:rPr>
              <w:t>1,845</w:t>
            </w:r>
          </w:p>
        </w:tc>
        <w:tc>
          <w:tcPr>
            <w:tcW w:w="215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1ACE7F1D" w14:textId="77777777" w:rsidR="000A739F" w:rsidRPr="002A714F" w:rsidRDefault="000A739F">
            <w:pPr>
              <w:spacing w:line="276" w:lineRule="auto"/>
              <w:rPr>
                <w:rFonts w:ascii="Arial" w:hAnsi="Arial" w:cs="Arial"/>
                <w:color w:val="000000"/>
              </w:rPr>
            </w:pPr>
            <w:r w:rsidRPr="002A714F">
              <w:rPr>
                <w:rFonts w:ascii="Arial" w:hAnsi="Arial" w:cs="Arial"/>
                <w:color w:val="000000"/>
              </w:rPr>
              <w:t>1,382</w:t>
            </w:r>
          </w:p>
        </w:tc>
        <w:tc>
          <w:tcPr>
            <w:tcW w:w="2199" w:type="dxa"/>
            <w:tcBorders>
              <w:top w:val="nil"/>
              <w:left w:val="nil"/>
              <w:bottom w:val="single" w:sz="8" w:space="0" w:color="000000"/>
              <w:right w:val="single" w:sz="8" w:space="0" w:color="000000"/>
            </w:tcBorders>
            <w:tcMar>
              <w:top w:w="0" w:type="dxa"/>
              <w:left w:w="105" w:type="dxa"/>
              <w:bottom w:w="0" w:type="dxa"/>
              <w:right w:w="105" w:type="dxa"/>
            </w:tcMar>
            <w:vAlign w:val="center"/>
            <w:hideMark/>
          </w:tcPr>
          <w:p w14:paraId="7EEF41BD" w14:textId="77777777" w:rsidR="000A739F" w:rsidRPr="002A714F" w:rsidRDefault="000A739F">
            <w:pPr>
              <w:spacing w:line="276" w:lineRule="auto"/>
              <w:rPr>
                <w:rFonts w:ascii="Arial" w:hAnsi="Arial" w:cs="Arial"/>
                <w:color w:val="000000"/>
              </w:rPr>
            </w:pPr>
            <w:r w:rsidRPr="002A714F">
              <w:rPr>
                <w:rFonts w:ascii="Arial" w:hAnsi="Arial" w:cs="Arial"/>
                <w:color w:val="000000"/>
              </w:rPr>
              <w:t>+34%</w:t>
            </w:r>
          </w:p>
        </w:tc>
      </w:tr>
    </w:tbl>
    <w:p w14:paraId="2AFAD938" w14:textId="77777777" w:rsidR="000A739F" w:rsidRPr="002A714F" w:rsidRDefault="000A739F" w:rsidP="000D769F">
      <w:pPr>
        <w:jc w:val="both"/>
        <w:rPr>
          <w:rFonts w:ascii="Arial" w:hAnsi="Arial" w:cs="Arial"/>
        </w:rPr>
      </w:pPr>
    </w:p>
    <w:p w14:paraId="578DFAE3" w14:textId="684BBDDC" w:rsidR="00D457F3" w:rsidRPr="002A714F" w:rsidRDefault="00D457F3" w:rsidP="00D457F3">
      <w:pPr>
        <w:jc w:val="both"/>
        <w:rPr>
          <w:rFonts w:ascii="Arial" w:hAnsi="Arial" w:cs="Arial"/>
        </w:rPr>
      </w:pPr>
      <w:r w:rsidRPr="007C0D4A">
        <w:rPr>
          <w:rFonts w:ascii="Arial" w:hAnsi="Arial" w:cs="Arial"/>
          <w:b/>
          <w:bCs/>
        </w:rPr>
        <w:t>Los ingresos del segundo trimestre de 2023</w:t>
      </w:r>
      <w:r w:rsidRPr="002A714F">
        <w:rPr>
          <w:rFonts w:ascii="Arial" w:hAnsi="Arial" w:cs="Arial"/>
        </w:rPr>
        <w:t xml:space="preserve"> aumentaron un 24 por ciento, reflejando principalmente un mayor número de entregas de aviones comerciales en comparación con el segundo trimestre de 2022.</w:t>
      </w:r>
    </w:p>
    <w:p w14:paraId="05947838" w14:textId="3CBFA013" w:rsidR="00D457F3" w:rsidRPr="002A714F" w:rsidRDefault="00D457F3" w:rsidP="00D457F3">
      <w:pPr>
        <w:jc w:val="both"/>
        <w:rPr>
          <w:rFonts w:ascii="Arial" w:hAnsi="Arial" w:cs="Arial"/>
        </w:rPr>
      </w:pPr>
      <w:r w:rsidRPr="007C0D4A">
        <w:rPr>
          <w:rFonts w:ascii="Arial" w:hAnsi="Arial" w:cs="Arial"/>
          <w:b/>
          <w:bCs/>
        </w:rPr>
        <w:t>El EBIT Ajustado del segundo trimestre de 2023</w:t>
      </w:r>
      <w:r w:rsidRPr="002A714F">
        <w:rPr>
          <w:rFonts w:ascii="Arial" w:hAnsi="Arial" w:cs="Arial"/>
        </w:rPr>
        <w:t xml:space="preserve"> aumentó un 34 por ciento, principalmente debido al aumento en las entregas de aviones comerciales, un impacto positivo año tras año por cobertura de divisas y la liberación de provisiones después de los avances en temas relacionados con el cumplimiento.</w:t>
      </w:r>
    </w:p>
    <w:p w14:paraId="1A445322" w14:textId="1E6CDC1C" w:rsidR="00D457F3" w:rsidRPr="002A714F" w:rsidRDefault="00D457F3" w:rsidP="00D457F3">
      <w:pPr>
        <w:jc w:val="both"/>
        <w:rPr>
          <w:rFonts w:ascii="Arial" w:hAnsi="Arial" w:cs="Arial"/>
        </w:rPr>
      </w:pPr>
      <w:r w:rsidRPr="007C0D4A">
        <w:rPr>
          <w:rFonts w:ascii="Arial" w:hAnsi="Arial" w:cs="Arial"/>
          <w:b/>
          <w:bCs/>
        </w:rPr>
        <w:t>El EBIT (reportado) del segundo trimestre de 2023</w:t>
      </w:r>
      <w:r w:rsidRPr="002A714F">
        <w:rPr>
          <w:rFonts w:ascii="Arial" w:hAnsi="Arial" w:cs="Arial"/>
        </w:rPr>
        <w:t xml:space="preserve"> fue de € 1,497 millones e incluyó ajustes netos de € -348 millones. Los ajustes netos en el segundo trimestre de 2022 ascendieron a € -232 millones.</w:t>
      </w:r>
    </w:p>
    <w:p w14:paraId="176E8A1D" w14:textId="11284AF2" w:rsidR="00D457F3" w:rsidRPr="002A714F" w:rsidRDefault="00D457F3" w:rsidP="00D457F3">
      <w:pPr>
        <w:jc w:val="both"/>
        <w:rPr>
          <w:rFonts w:ascii="Arial" w:hAnsi="Arial" w:cs="Arial"/>
        </w:rPr>
      </w:pPr>
      <w:r w:rsidRPr="007C0D4A">
        <w:rPr>
          <w:rFonts w:ascii="Arial" w:hAnsi="Arial" w:cs="Arial"/>
          <w:b/>
          <w:bCs/>
        </w:rPr>
        <w:t>El Ingreso Neto</w:t>
      </w:r>
      <w:r w:rsidRPr="007C0D4A">
        <w:rPr>
          <w:rFonts w:ascii="Arial" w:hAnsi="Arial" w:cs="Arial"/>
          <w:b/>
          <w:bCs/>
          <w:vertAlign w:val="superscript"/>
        </w:rPr>
        <w:t xml:space="preserve"> (3)</w:t>
      </w:r>
      <w:r w:rsidRPr="007C0D4A">
        <w:rPr>
          <w:rFonts w:ascii="Arial" w:hAnsi="Arial" w:cs="Arial"/>
          <w:b/>
          <w:bCs/>
        </w:rPr>
        <w:t xml:space="preserve"> del segundo trimestre de 2023</w:t>
      </w:r>
      <w:r w:rsidRPr="002A714F">
        <w:rPr>
          <w:rFonts w:ascii="Arial" w:hAnsi="Arial" w:cs="Arial"/>
        </w:rPr>
        <w:t xml:space="preserve"> fue de € 1,060 millones y refleja principalmente el EBIT (reportado), € -47 millones del resultado financiero y € -436 millones de impuestos.</w:t>
      </w:r>
    </w:p>
    <w:p w14:paraId="033FF6F2" w14:textId="77777777" w:rsidR="00D457F3" w:rsidRPr="002A714F" w:rsidRDefault="00D457F3" w:rsidP="00D457F3">
      <w:pPr>
        <w:jc w:val="both"/>
        <w:rPr>
          <w:rFonts w:ascii="Arial" w:hAnsi="Arial" w:cs="Arial"/>
        </w:rPr>
      </w:pPr>
    </w:p>
    <w:p w14:paraId="7378CF4E" w14:textId="5AFFFE63" w:rsidR="00D457F3" w:rsidRPr="007C0D4A" w:rsidRDefault="00D457F3" w:rsidP="00D457F3">
      <w:pPr>
        <w:jc w:val="both"/>
        <w:rPr>
          <w:rFonts w:ascii="Arial" w:hAnsi="Arial" w:cs="Arial"/>
          <w:b/>
          <w:bCs/>
        </w:rPr>
      </w:pPr>
      <w:r w:rsidRPr="007C0D4A">
        <w:rPr>
          <w:rFonts w:ascii="Arial" w:hAnsi="Arial" w:cs="Arial"/>
          <w:b/>
          <w:bCs/>
        </w:rPr>
        <w:t>Conciliación entre EBIT (reportado) y EBIT Ajustado:</w:t>
      </w:r>
    </w:p>
    <w:p w14:paraId="7AB2E7B4" w14:textId="3C6FE711" w:rsidR="007F71B2" w:rsidRPr="002A714F" w:rsidRDefault="00D457F3" w:rsidP="00D457F3">
      <w:pPr>
        <w:jc w:val="both"/>
        <w:rPr>
          <w:rFonts w:ascii="Arial" w:hAnsi="Arial" w:cs="Arial"/>
        </w:rPr>
      </w:pPr>
      <w:r w:rsidRPr="002A714F">
        <w:rPr>
          <w:rFonts w:ascii="Arial" w:hAnsi="Arial" w:cs="Arial"/>
        </w:rPr>
        <w:t>La siguiente tabla muestra la conciliación entre EBIT (reportado) y EBIT Ajustado.</w:t>
      </w:r>
    </w:p>
    <w:tbl>
      <w:tblPr>
        <w:tblW w:w="9517" w:type="dxa"/>
        <w:tblCellMar>
          <w:left w:w="0" w:type="dxa"/>
          <w:right w:w="0" w:type="dxa"/>
        </w:tblCellMar>
        <w:tblLook w:val="04A0" w:firstRow="1" w:lastRow="0" w:firstColumn="1" w:lastColumn="0" w:noHBand="0" w:noVBand="1"/>
      </w:tblPr>
      <w:tblGrid>
        <w:gridCol w:w="3534"/>
        <w:gridCol w:w="5983"/>
      </w:tblGrid>
      <w:tr w:rsidR="00C3687E" w:rsidRPr="00C3687E" w14:paraId="6759AC95" w14:textId="77777777" w:rsidTr="007C0D4A">
        <w:trPr>
          <w:trHeight w:val="525"/>
          <w:tblHeader/>
        </w:trPr>
        <w:tc>
          <w:tcPr>
            <w:tcW w:w="3534" w:type="dxa"/>
            <w:tcBorders>
              <w:top w:val="single" w:sz="8" w:space="0" w:color="000000"/>
              <w:left w:val="single" w:sz="8" w:space="0" w:color="000000"/>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5AC7E0AC" w14:textId="77777777" w:rsidR="00C3687E" w:rsidRPr="00A038B9" w:rsidRDefault="007F71B2" w:rsidP="007C0D4A">
            <w:pPr>
              <w:rPr>
                <w:rFonts w:ascii="Arial" w:hAnsi="Arial" w:cs="Arial"/>
                <w:b/>
                <w:bCs/>
              </w:rPr>
            </w:pPr>
            <w:r w:rsidRPr="00A038B9">
              <w:rPr>
                <w:rFonts w:ascii="Arial" w:hAnsi="Arial" w:cs="Arial"/>
                <w:b/>
                <w:bCs/>
              </w:rPr>
              <w:t>Airbus consolidado</w:t>
            </w:r>
          </w:p>
          <w:p w14:paraId="45CE7B18" w14:textId="215338D5" w:rsidR="007F71B2" w:rsidRPr="00C3687E" w:rsidRDefault="007F71B2" w:rsidP="007C0D4A">
            <w:pPr>
              <w:rPr>
                <w:rFonts w:ascii="Arial" w:hAnsi="Arial" w:cs="Arial"/>
              </w:rPr>
            </w:pPr>
            <w:r w:rsidRPr="002A714F">
              <w:rPr>
                <w:rFonts w:ascii="Arial" w:hAnsi="Arial" w:cs="Arial"/>
              </w:rPr>
              <w:t>(Montos en millones de euros)</w:t>
            </w:r>
          </w:p>
        </w:tc>
        <w:tc>
          <w:tcPr>
            <w:tcW w:w="5983" w:type="dxa"/>
            <w:tcBorders>
              <w:top w:val="single" w:sz="8" w:space="0" w:color="000000"/>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1D552ADA" w14:textId="77777777" w:rsidR="00C3687E" w:rsidRPr="00C3687E" w:rsidRDefault="00C3687E" w:rsidP="00C3687E">
            <w:pPr>
              <w:jc w:val="both"/>
              <w:rPr>
                <w:rFonts w:ascii="Arial" w:hAnsi="Arial" w:cs="Arial"/>
              </w:rPr>
            </w:pPr>
            <w:r w:rsidRPr="00C3687E">
              <w:rPr>
                <w:rFonts w:ascii="Arial" w:hAnsi="Arial" w:cs="Arial"/>
                <w:b/>
                <w:bCs/>
              </w:rPr>
              <w:t>H1 2023</w:t>
            </w:r>
          </w:p>
        </w:tc>
      </w:tr>
      <w:tr w:rsidR="00C3687E" w:rsidRPr="00C3687E" w14:paraId="6A9D8F32" w14:textId="77777777" w:rsidTr="007C0D4A">
        <w:trPr>
          <w:trHeight w:val="345"/>
          <w:tblHeader/>
        </w:trPr>
        <w:tc>
          <w:tcPr>
            <w:tcW w:w="3534"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63EC397" w14:textId="72974C8B" w:rsidR="00C3687E" w:rsidRPr="00C3687E" w:rsidRDefault="00C3687E" w:rsidP="00C3687E">
            <w:pPr>
              <w:jc w:val="both"/>
              <w:rPr>
                <w:rFonts w:ascii="Arial" w:hAnsi="Arial" w:cs="Arial"/>
              </w:rPr>
            </w:pPr>
            <w:r w:rsidRPr="00C3687E">
              <w:rPr>
                <w:rFonts w:ascii="Arial" w:hAnsi="Arial" w:cs="Arial"/>
                <w:b/>
                <w:bCs/>
              </w:rPr>
              <w:t>EBIT (repor</w:t>
            </w:r>
            <w:r w:rsidR="007F71B2" w:rsidRPr="002A714F">
              <w:rPr>
                <w:rFonts w:ascii="Arial" w:hAnsi="Arial" w:cs="Arial"/>
                <w:b/>
                <w:bCs/>
              </w:rPr>
              <w:t>tado</w:t>
            </w:r>
            <w:r w:rsidRPr="00C3687E">
              <w:rPr>
                <w:rFonts w:ascii="Arial" w:hAnsi="Arial" w:cs="Arial"/>
                <w:b/>
                <w:bCs/>
              </w:rPr>
              <w:t>)</w:t>
            </w:r>
          </w:p>
        </w:tc>
        <w:tc>
          <w:tcPr>
            <w:tcW w:w="5983"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60E27489" w14:textId="77777777" w:rsidR="00C3687E" w:rsidRPr="00C3687E" w:rsidRDefault="00C3687E" w:rsidP="00C3687E">
            <w:pPr>
              <w:jc w:val="both"/>
              <w:rPr>
                <w:rFonts w:ascii="Arial" w:hAnsi="Arial" w:cs="Arial"/>
              </w:rPr>
            </w:pPr>
            <w:r w:rsidRPr="00C3687E">
              <w:rPr>
                <w:rFonts w:ascii="Arial" w:hAnsi="Arial" w:cs="Arial"/>
                <w:b/>
                <w:bCs/>
              </w:rPr>
              <w:t>1,887</w:t>
            </w:r>
          </w:p>
        </w:tc>
      </w:tr>
      <w:tr w:rsidR="00C3687E" w:rsidRPr="00C3687E" w14:paraId="115ED19B" w14:textId="77777777" w:rsidTr="007C0D4A">
        <w:trPr>
          <w:trHeight w:val="345"/>
          <w:tblHeader/>
        </w:trPr>
        <w:tc>
          <w:tcPr>
            <w:tcW w:w="3534"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98B72CA" w14:textId="02636F51" w:rsidR="00C3687E" w:rsidRPr="00C3687E" w:rsidRDefault="007F71B2" w:rsidP="00C3687E">
            <w:pPr>
              <w:jc w:val="both"/>
              <w:rPr>
                <w:rFonts w:ascii="Arial" w:hAnsi="Arial" w:cs="Arial"/>
              </w:rPr>
            </w:pPr>
            <w:r w:rsidRPr="002A714F">
              <w:rPr>
                <w:rFonts w:ascii="Arial" w:hAnsi="Arial" w:cs="Arial"/>
              </w:rPr>
              <w:t>de los cuales:</w:t>
            </w:r>
          </w:p>
        </w:tc>
        <w:tc>
          <w:tcPr>
            <w:tcW w:w="5983"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35BF925D" w14:textId="77777777" w:rsidR="00C3687E" w:rsidRPr="00C3687E" w:rsidRDefault="00C3687E" w:rsidP="00C3687E">
            <w:pPr>
              <w:jc w:val="both"/>
              <w:rPr>
                <w:rFonts w:ascii="Arial" w:hAnsi="Arial" w:cs="Arial"/>
              </w:rPr>
            </w:pPr>
          </w:p>
        </w:tc>
      </w:tr>
      <w:tr w:rsidR="00C3687E" w:rsidRPr="00C3687E" w14:paraId="562FE866" w14:textId="77777777" w:rsidTr="007C0D4A">
        <w:trPr>
          <w:trHeight w:val="345"/>
          <w:tblHeader/>
        </w:trPr>
        <w:tc>
          <w:tcPr>
            <w:tcW w:w="3534"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D9BD649" w14:textId="19A8E91A" w:rsidR="00C3687E" w:rsidRPr="00C3687E" w:rsidRDefault="007F71B2" w:rsidP="007C0D4A">
            <w:pPr>
              <w:rPr>
                <w:rFonts w:ascii="Arial" w:hAnsi="Arial" w:cs="Arial"/>
              </w:rPr>
            </w:pPr>
            <w:r w:rsidRPr="002A714F">
              <w:rPr>
                <w:rFonts w:ascii="Arial" w:hAnsi="Arial" w:cs="Arial"/>
              </w:rPr>
              <w:t xml:space="preserve">Desajuste $ </w:t>
            </w:r>
            <w:r w:rsidR="00C3687E" w:rsidRPr="00C3687E">
              <w:rPr>
                <w:rFonts w:ascii="Arial" w:hAnsi="Arial" w:cs="Arial"/>
              </w:rPr>
              <w:t>PDP</w:t>
            </w:r>
            <w:r w:rsidRPr="002A714F">
              <w:rPr>
                <w:rFonts w:ascii="Arial" w:hAnsi="Arial" w:cs="Arial"/>
              </w:rPr>
              <w:t xml:space="preserve">/ revaluación de balance </w:t>
            </w:r>
            <w:r w:rsidR="00C3687E" w:rsidRPr="00C3687E">
              <w:rPr>
                <w:rFonts w:ascii="Arial" w:hAnsi="Arial" w:cs="Arial"/>
              </w:rPr>
              <w:t xml:space="preserve"> </w:t>
            </w:r>
          </w:p>
        </w:tc>
        <w:tc>
          <w:tcPr>
            <w:tcW w:w="5983"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5E78AA73" w14:textId="77777777" w:rsidR="00C3687E" w:rsidRPr="00C3687E" w:rsidRDefault="00C3687E" w:rsidP="00C3687E">
            <w:pPr>
              <w:jc w:val="both"/>
              <w:rPr>
                <w:rFonts w:ascii="Arial" w:hAnsi="Arial" w:cs="Arial"/>
              </w:rPr>
            </w:pPr>
            <w:r w:rsidRPr="00C3687E">
              <w:rPr>
                <w:rFonts w:ascii="Arial" w:hAnsi="Arial" w:cs="Arial"/>
                <w:b/>
                <w:bCs/>
              </w:rPr>
              <w:t>-651</w:t>
            </w:r>
          </w:p>
        </w:tc>
      </w:tr>
      <w:tr w:rsidR="00C3687E" w:rsidRPr="00C3687E" w14:paraId="67900F1B" w14:textId="77777777" w:rsidTr="007C0D4A">
        <w:trPr>
          <w:trHeight w:val="345"/>
        </w:trPr>
        <w:tc>
          <w:tcPr>
            <w:tcW w:w="3534"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6F37D1B" w14:textId="1DC60FE6" w:rsidR="00C3687E" w:rsidRPr="00C3687E" w:rsidRDefault="007F71B2" w:rsidP="007C0D4A">
            <w:pPr>
              <w:rPr>
                <w:rFonts w:ascii="Arial" w:hAnsi="Arial" w:cs="Arial"/>
              </w:rPr>
            </w:pPr>
            <w:r w:rsidRPr="002A714F">
              <w:rPr>
                <w:rFonts w:ascii="Arial" w:hAnsi="Arial" w:cs="Arial"/>
              </w:rPr>
              <w:t>Transformación</w:t>
            </w:r>
            <w:r w:rsidR="007C0D4A">
              <w:rPr>
                <w:rFonts w:ascii="Arial" w:hAnsi="Arial" w:cs="Arial"/>
              </w:rPr>
              <w:t xml:space="preserve"> </w:t>
            </w:r>
            <w:r w:rsidRPr="002A714F">
              <w:rPr>
                <w:rFonts w:ascii="Arial" w:hAnsi="Arial" w:cs="Arial"/>
              </w:rPr>
              <w:t>de Aerostructura</w:t>
            </w:r>
            <w:r w:rsidR="007C0D4A">
              <w:rPr>
                <w:rFonts w:ascii="Arial" w:hAnsi="Arial" w:cs="Arial"/>
              </w:rPr>
              <w:t>s</w:t>
            </w:r>
          </w:p>
        </w:tc>
        <w:tc>
          <w:tcPr>
            <w:tcW w:w="5983"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46132570" w14:textId="77777777" w:rsidR="00C3687E" w:rsidRPr="00C3687E" w:rsidRDefault="00C3687E" w:rsidP="00C3687E">
            <w:pPr>
              <w:jc w:val="both"/>
              <w:rPr>
                <w:rFonts w:ascii="Arial" w:hAnsi="Arial" w:cs="Arial"/>
              </w:rPr>
            </w:pPr>
            <w:r w:rsidRPr="00C3687E">
              <w:rPr>
                <w:rFonts w:ascii="Arial" w:hAnsi="Arial" w:cs="Arial"/>
                <w:b/>
                <w:bCs/>
              </w:rPr>
              <w:t>-34</w:t>
            </w:r>
          </w:p>
        </w:tc>
      </w:tr>
      <w:tr w:rsidR="00C3687E" w:rsidRPr="00C3687E" w14:paraId="14ED9947" w14:textId="77777777" w:rsidTr="007C0D4A">
        <w:trPr>
          <w:trHeight w:val="345"/>
        </w:trPr>
        <w:tc>
          <w:tcPr>
            <w:tcW w:w="3534"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CA05B59" w14:textId="7B693C91" w:rsidR="00C3687E" w:rsidRPr="00C3687E" w:rsidRDefault="007F71B2" w:rsidP="00C3687E">
            <w:pPr>
              <w:jc w:val="both"/>
              <w:rPr>
                <w:rFonts w:ascii="Arial" w:hAnsi="Arial" w:cs="Arial"/>
              </w:rPr>
            </w:pPr>
            <w:r w:rsidRPr="002A714F">
              <w:rPr>
                <w:rFonts w:ascii="Arial" w:hAnsi="Arial" w:cs="Arial"/>
              </w:rPr>
              <w:t>Otros</w:t>
            </w:r>
          </w:p>
        </w:tc>
        <w:tc>
          <w:tcPr>
            <w:tcW w:w="5983"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4EDD2552" w14:textId="77777777" w:rsidR="00C3687E" w:rsidRPr="00C3687E" w:rsidRDefault="00C3687E" w:rsidP="00C3687E">
            <w:pPr>
              <w:jc w:val="both"/>
              <w:rPr>
                <w:rFonts w:ascii="Arial" w:hAnsi="Arial" w:cs="Arial"/>
              </w:rPr>
            </w:pPr>
            <w:r w:rsidRPr="00C3687E">
              <w:rPr>
                <w:rFonts w:ascii="Arial" w:hAnsi="Arial" w:cs="Arial"/>
                <w:b/>
                <w:bCs/>
              </w:rPr>
              <w:t>-46</w:t>
            </w:r>
          </w:p>
        </w:tc>
      </w:tr>
      <w:tr w:rsidR="00C3687E" w:rsidRPr="00C3687E" w14:paraId="341D5764" w14:textId="77777777" w:rsidTr="007C0D4A">
        <w:trPr>
          <w:trHeight w:val="345"/>
        </w:trPr>
        <w:tc>
          <w:tcPr>
            <w:tcW w:w="3534"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A1DEE24" w14:textId="3EFC4633" w:rsidR="00C3687E" w:rsidRPr="00C3687E" w:rsidRDefault="00C3687E" w:rsidP="00C3687E">
            <w:pPr>
              <w:jc w:val="both"/>
              <w:rPr>
                <w:rFonts w:ascii="Arial" w:hAnsi="Arial" w:cs="Arial"/>
              </w:rPr>
            </w:pPr>
            <w:r w:rsidRPr="00C3687E">
              <w:rPr>
                <w:rFonts w:ascii="Arial" w:hAnsi="Arial" w:cs="Arial"/>
                <w:b/>
                <w:bCs/>
              </w:rPr>
              <w:lastRenderedPageBreak/>
              <w:t>EBIT A</w:t>
            </w:r>
            <w:r w:rsidRPr="002A714F">
              <w:rPr>
                <w:rFonts w:ascii="Arial" w:hAnsi="Arial" w:cs="Arial"/>
                <w:b/>
                <w:bCs/>
              </w:rPr>
              <w:t>justado</w:t>
            </w:r>
          </w:p>
        </w:tc>
        <w:tc>
          <w:tcPr>
            <w:tcW w:w="5983" w:type="dxa"/>
            <w:tcBorders>
              <w:top w:val="nil"/>
              <w:left w:val="nil"/>
              <w:bottom w:val="single" w:sz="8" w:space="0" w:color="000000"/>
              <w:right w:val="single" w:sz="8" w:space="0" w:color="000000"/>
            </w:tcBorders>
            <w:shd w:val="clear" w:color="auto" w:fill="CFE2F3"/>
            <w:tcMar>
              <w:top w:w="0" w:type="dxa"/>
              <w:left w:w="105" w:type="dxa"/>
              <w:bottom w:w="0" w:type="dxa"/>
              <w:right w:w="105" w:type="dxa"/>
            </w:tcMar>
            <w:vAlign w:val="center"/>
            <w:hideMark/>
          </w:tcPr>
          <w:p w14:paraId="6945C181" w14:textId="77777777" w:rsidR="00C3687E" w:rsidRPr="00C3687E" w:rsidRDefault="00C3687E" w:rsidP="00C3687E">
            <w:pPr>
              <w:jc w:val="both"/>
              <w:rPr>
                <w:rFonts w:ascii="Arial" w:hAnsi="Arial" w:cs="Arial"/>
              </w:rPr>
            </w:pPr>
            <w:r w:rsidRPr="00C3687E">
              <w:rPr>
                <w:rFonts w:ascii="Arial" w:hAnsi="Arial" w:cs="Arial"/>
                <w:b/>
                <w:bCs/>
              </w:rPr>
              <w:t>2,618</w:t>
            </w:r>
          </w:p>
        </w:tc>
      </w:tr>
    </w:tbl>
    <w:p w14:paraId="6293D2B0" w14:textId="77777777" w:rsidR="00C3687E" w:rsidRPr="002A714F" w:rsidRDefault="00C3687E" w:rsidP="00D457F3">
      <w:pPr>
        <w:jc w:val="both"/>
        <w:rPr>
          <w:rFonts w:ascii="Arial" w:hAnsi="Arial" w:cs="Arial"/>
        </w:rPr>
      </w:pPr>
    </w:p>
    <w:p w14:paraId="5D7C98D6" w14:textId="7A82BFCA" w:rsidR="007F71B2" w:rsidRPr="007F71B2" w:rsidRDefault="007F71B2" w:rsidP="007F71B2">
      <w:pPr>
        <w:jc w:val="both"/>
        <w:rPr>
          <w:rFonts w:ascii="Arial" w:hAnsi="Arial" w:cs="Arial"/>
        </w:rPr>
      </w:pPr>
      <w:r w:rsidRPr="007F71B2">
        <w:rPr>
          <w:rFonts w:ascii="Arial" w:hAnsi="Arial" w:cs="Arial"/>
          <w:b/>
          <w:bCs/>
          <w:u w:val="single"/>
        </w:rPr>
        <w:t>Glo</w:t>
      </w:r>
      <w:r w:rsidR="00691B49" w:rsidRPr="002A714F">
        <w:rPr>
          <w:rFonts w:ascii="Arial" w:hAnsi="Arial" w:cs="Arial"/>
          <w:b/>
          <w:bCs/>
          <w:u w:val="single"/>
        </w:rPr>
        <w:t>sario</w:t>
      </w:r>
      <w:r w:rsidRPr="007F71B2">
        <w:rPr>
          <w:rFonts w:ascii="Arial" w:hAnsi="Arial" w:cs="Arial"/>
          <w:b/>
          <w:bCs/>
          <w:u w:val="single"/>
        </w:rPr>
        <w:t xml:space="preserve"> </w:t>
      </w:r>
      <w:r w:rsidRPr="007F71B2">
        <w:rPr>
          <w:rFonts w:ascii="Arial" w:hAnsi="Arial" w:cs="Arial"/>
        </w:rPr>
        <w:br/>
        <w:t> </w:t>
      </w:r>
    </w:p>
    <w:tbl>
      <w:tblPr>
        <w:tblW w:w="0" w:type="dxa"/>
        <w:tblCellMar>
          <w:left w:w="0" w:type="dxa"/>
          <w:right w:w="0" w:type="dxa"/>
        </w:tblCellMar>
        <w:tblLook w:val="04A0" w:firstRow="1" w:lastRow="0" w:firstColumn="1" w:lastColumn="0" w:noHBand="0" w:noVBand="1"/>
      </w:tblPr>
      <w:tblGrid>
        <w:gridCol w:w="1824"/>
        <w:gridCol w:w="6994"/>
      </w:tblGrid>
      <w:tr w:rsidR="007F71B2" w:rsidRPr="007F71B2" w14:paraId="55DA36E1" w14:textId="77777777" w:rsidTr="007F71B2">
        <w:tc>
          <w:tcPr>
            <w:tcW w:w="1650" w:type="dxa"/>
            <w:tcBorders>
              <w:top w:val="single" w:sz="8" w:space="0" w:color="000000"/>
              <w:left w:val="single" w:sz="8" w:space="0" w:color="000000"/>
              <w:bottom w:val="single" w:sz="8" w:space="0" w:color="000000"/>
              <w:right w:val="single" w:sz="8" w:space="0" w:color="000000"/>
            </w:tcBorders>
            <w:tcMar>
              <w:top w:w="0" w:type="dxa"/>
              <w:left w:w="105" w:type="dxa"/>
              <w:bottom w:w="0" w:type="dxa"/>
              <w:right w:w="105" w:type="dxa"/>
            </w:tcMar>
            <w:hideMark/>
          </w:tcPr>
          <w:p w14:paraId="10002442" w14:textId="77777777" w:rsidR="007F71B2" w:rsidRPr="007F71B2" w:rsidRDefault="007F71B2" w:rsidP="007F71B2">
            <w:pPr>
              <w:jc w:val="both"/>
              <w:rPr>
                <w:rFonts w:ascii="Arial" w:hAnsi="Arial" w:cs="Arial"/>
              </w:rPr>
            </w:pPr>
            <w:r w:rsidRPr="007F71B2">
              <w:rPr>
                <w:rFonts w:ascii="Arial" w:hAnsi="Arial" w:cs="Arial"/>
                <w:b/>
                <w:bCs/>
              </w:rPr>
              <w:t>KPI</w:t>
            </w:r>
          </w:p>
        </w:tc>
        <w:tc>
          <w:tcPr>
            <w:tcW w:w="7410" w:type="dxa"/>
            <w:tcBorders>
              <w:top w:val="single" w:sz="8" w:space="0" w:color="000000"/>
              <w:left w:val="nil"/>
              <w:bottom w:val="single" w:sz="8" w:space="0" w:color="000000"/>
              <w:right w:val="single" w:sz="8" w:space="0" w:color="000000"/>
            </w:tcBorders>
            <w:tcMar>
              <w:top w:w="0" w:type="dxa"/>
              <w:left w:w="105" w:type="dxa"/>
              <w:bottom w:w="0" w:type="dxa"/>
              <w:right w:w="105" w:type="dxa"/>
            </w:tcMar>
            <w:hideMark/>
          </w:tcPr>
          <w:p w14:paraId="707BBBA2" w14:textId="549C4457" w:rsidR="007F71B2" w:rsidRPr="007F71B2" w:rsidRDefault="007F71B2" w:rsidP="007F71B2">
            <w:pPr>
              <w:tabs>
                <w:tab w:val="center" w:pos="3483"/>
              </w:tabs>
              <w:jc w:val="both"/>
              <w:rPr>
                <w:rFonts w:ascii="Arial" w:hAnsi="Arial" w:cs="Arial"/>
              </w:rPr>
            </w:pPr>
            <w:r w:rsidRPr="007F71B2">
              <w:rPr>
                <w:rFonts w:ascii="Arial" w:hAnsi="Arial" w:cs="Arial"/>
                <w:b/>
                <w:bCs/>
              </w:rPr>
              <w:t>DEFINI</w:t>
            </w:r>
            <w:r w:rsidRPr="002A714F">
              <w:rPr>
                <w:rFonts w:ascii="Arial" w:hAnsi="Arial" w:cs="Arial"/>
                <w:b/>
                <w:bCs/>
              </w:rPr>
              <w:t>CIÓN</w:t>
            </w:r>
          </w:p>
        </w:tc>
      </w:tr>
      <w:tr w:rsidR="007F71B2" w:rsidRPr="007F71B2" w14:paraId="34097FE3" w14:textId="77777777" w:rsidTr="007F71B2">
        <w:trPr>
          <w:trHeight w:val="660"/>
        </w:trPr>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2F78277D" w14:textId="77777777" w:rsidR="007F71B2" w:rsidRPr="007F71B2" w:rsidRDefault="007F71B2" w:rsidP="007F71B2">
            <w:pPr>
              <w:jc w:val="both"/>
              <w:rPr>
                <w:rFonts w:ascii="Arial" w:hAnsi="Arial" w:cs="Arial"/>
              </w:rPr>
            </w:pPr>
            <w:r w:rsidRPr="007F71B2">
              <w:rPr>
                <w:rFonts w:ascii="Arial" w:hAnsi="Arial" w:cs="Arial"/>
              </w:rPr>
              <w:br/>
            </w:r>
            <w:r w:rsidRPr="007F71B2">
              <w:rPr>
                <w:rFonts w:ascii="Arial" w:hAnsi="Arial" w:cs="Arial"/>
                <w:b/>
                <w:bCs/>
              </w:rPr>
              <w:t>EBIT</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2F8FA068" w14:textId="0715962C" w:rsidR="007F71B2" w:rsidRPr="007F71B2" w:rsidRDefault="007F71B2" w:rsidP="007F71B2">
            <w:pPr>
              <w:jc w:val="both"/>
              <w:rPr>
                <w:rFonts w:ascii="Arial" w:hAnsi="Arial" w:cs="Arial"/>
              </w:rPr>
            </w:pPr>
            <w:r w:rsidRPr="007F71B2">
              <w:rPr>
                <w:rFonts w:ascii="Arial" w:hAnsi="Arial" w:cs="Arial"/>
              </w:rPr>
              <w:br/>
            </w:r>
            <w:r w:rsidRPr="002A714F">
              <w:rPr>
                <w:rFonts w:ascii="Arial" w:hAnsi="Arial" w:cs="Arial"/>
              </w:rPr>
              <w:t>La Compañía continúa utilizando el término EBIT (Ganancias antes de intereses e impuestos). Es idéntico a las Utilidades antes de gastos financieros e impuestos de acuerdo con las reglas del IFRS (Normas Internacionales de Información Financiera).</w:t>
            </w:r>
          </w:p>
        </w:tc>
      </w:tr>
      <w:tr w:rsidR="007F71B2" w:rsidRPr="007F71B2" w14:paraId="72047732" w14:textId="77777777" w:rsidTr="007F71B2">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6B7BF397" w14:textId="0F00ED29" w:rsidR="007F71B2" w:rsidRPr="007F71B2" w:rsidRDefault="007F71B2" w:rsidP="007F71B2">
            <w:pPr>
              <w:jc w:val="both"/>
              <w:rPr>
                <w:rFonts w:ascii="Arial" w:hAnsi="Arial" w:cs="Arial"/>
              </w:rPr>
            </w:pPr>
            <w:r w:rsidRPr="007F71B2">
              <w:rPr>
                <w:rFonts w:ascii="Arial" w:hAnsi="Arial" w:cs="Arial"/>
              </w:rPr>
              <w:br/>
            </w:r>
            <w:r w:rsidRPr="007F71B2">
              <w:rPr>
                <w:rFonts w:ascii="Arial" w:hAnsi="Arial" w:cs="Arial"/>
                <w:b/>
                <w:bCs/>
              </w:rPr>
              <w:t>A</w:t>
            </w:r>
            <w:r w:rsidRPr="002A714F">
              <w:rPr>
                <w:rFonts w:ascii="Arial" w:hAnsi="Arial" w:cs="Arial"/>
                <w:b/>
                <w:bCs/>
              </w:rPr>
              <w:t>juste</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0D3CD6AE" w14:textId="3A24928B" w:rsidR="007F71B2" w:rsidRPr="007F71B2" w:rsidRDefault="007F71B2" w:rsidP="007F71B2">
            <w:pPr>
              <w:jc w:val="both"/>
              <w:rPr>
                <w:rFonts w:ascii="Arial" w:hAnsi="Arial" w:cs="Arial"/>
              </w:rPr>
            </w:pPr>
            <w:r w:rsidRPr="007F71B2">
              <w:rPr>
                <w:rFonts w:ascii="Arial" w:hAnsi="Arial" w:cs="Arial"/>
              </w:rPr>
              <w:br/>
            </w:r>
            <w:r w:rsidRPr="002A714F">
              <w:rPr>
                <w:rFonts w:ascii="Arial" w:hAnsi="Arial" w:cs="Arial"/>
              </w:rPr>
              <w:t>Ajuste, es un indicador alternativo de desempeño, es un término utilizado por la Compañía que incluye cargos o ganancias materiales causadas por movimientos en provisiones relacionadas con programas, reestructuraciones o impactos de tipo de cambio, así como ganancias/pérdidas de la disposición y adquisición de negocios.</w:t>
            </w:r>
          </w:p>
        </w:tc>
      </w:tr>
      <w:tr w:rsidR="007F71B2" w:rsidRPr="007F71B2" w14:paraId="28DCD7C0" w14:textId="77777777" w:rsidTr="007F71B2">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305DBCE4" w14:textId="151780D5" w:rsidR="007F71B2" w:rsidRPr="007F71B2" w:rsidRDefault="007F71B2" w:rsidP="007F71B2">
            <w:pPr>
              <w:jc w:val="both"/>
              <w:rPr>
                <w:rFonts w:ascii="Arial" w:hAnsi="Arial" w:cs="Arial"/>
              </w:rPr>
            </w:pPr>
            <w:r w:rsidRPr="007F71B2">
              <w:rPr>
                <w:rFonts w:ascii="Arial" w:hAnsi="Arial" w:cs="Arial"/>
              </w:rPr>
              <w:br/>
            </w:r>
            <w:r w:rsidRPr="007F71B2">
              <w:rPr>
                <w:rFonts w:ascii="Arial" w:hAnsi="Arial" w:cs="Arial"/>
                <w:b/>
                <w:bCs/>
              </w:rPr>
              <w:t>EBIT A</w:t>
            </w:r>
            <w:r w:rsidRPr="002A714F">
              <w:rPr>
                <w:rFonts w:ascii="Arial" w:hAnsi="Arial" w:cs="Arial"/>
                <w:b/>
                <w:bCs/>
              </w:rPr>
              <w:t>justado</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38FB66A0" w14:textId="77777777" w:rsidR="002A714F" w:rsidRDefault="007F71B2" w:rsidP="007F71B2">
            <w:pPr>
              <w:jc w:val="both"/>
              <w:rPr>
                <w:rFonts w:ascii="Arial" w:hAnsi="Arial" w:cs="Arial"/>
              </w:rPr>
            </w:pPr>
            <w:r w:rsidRPr="007F71B2">
              <w:rPr>
                <w:rFonts w:ascii="Arial" w:hAnsi="Arial" w:cs="Arial"/>
              </w:rPr>
              <w:t> </w:t>
            </w:r>
          </w:p>
          <w:p w14:paraId="635AAE47" w14:textId="47879F69" w:rsidR="007F71B2" w:rsidRPr="007F71B2" w:rsidRDefault="007F71B2" w:rsidP="007F71B2">
            <w:pPr>
              <w:jc w:val="both"/>
              <w:rPr>
                <w:rFonts w:ascii="Arial" w:hAnsi="Arial" w:cs="Arial"/>
              </w:rPr>
            </w:pPr>
            <w:r w:rsidRPr="002A714F">
              <w:rPr>
                <w:rFonts w:ascii="Arial" w:hAnsi="Arial" w:cs="Arial"/>
              </w:rPr>
              <w:t>La Compañía utiliza un indicador alternativo de desempeño, EBIT Ajustado, como un indicador clave que refleja el margen del negocio subyacente al excluir cargos o ganancias materiales causadas por movimientos en provisiones relacionadas con programas, reestructuraciones o impactos de tipo de cambio, así como ganancias/pérdidas de la disposición y adquisición de negocios.</w:t>
            </w:r>
          </w:p>
        </w:tc>
      </w:tr>
      <w:tr w:rsidR="007F71B2" w:rsidRPr="007F71B2" w14:paraId="6B084F7F" w14:textId="77777777" w:rsidTr="007F71B2">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3B4DA130" w14:textId="1A57EB1A" w:rsidR="007F71B2" w:rsidRPr="007F71B2" w:rsidRDefault="007F71B2" w:rsidP="007F71B2">
            <w:pPr>
              <w:jc w:val="both"/>
              <w:rPr>
                <w:rFonts w:ascii="Arial" w:hAnsi="Arial" w:cs="Arial"/>
              </w:rPr>
            </w:pPr>
            <w:r w:rsidRPr="007F71B2">
              <w:rPr>
                <w:rFonts w:ascii="Arial" w:hAnsi="Arial" w:cs="Arial"/>
              </w:rPr>
              <w:br/>
            </w:r>
            <w:r w:rsidRPr="007F71B2">
              <w:rPr>
                <w:rFonts w:ascii="Arial" w:hAnsi="Arial" w:cs="Arial"/>
                <w:b/>
                <w:bCs/>
              </w:rPr>
              <w:t>EPS A</w:t>
            </w:r>
            <w:r w:rsidR="00691B49" w:rsidRPr="002A714F">
              <w:rPr>
                <w:rFonts w:ascii="Arial" w:hAnsi="Arial" w:cs="Arial"/>
                <w:b/>
                <w:bCs/>
              </w:rPr>
              <w:t>justado</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2C2D905F" w14:textId="30AA5536" w:rsidR="007F71B2" w:rsidRPr="007F71B2" w:rsidRDefault="007F71B2" w:rsidP="007F71B2">
            <w:pPr>
              <w:jc w:val="both"/>
              <w:rPr>
                <w:rFonts w:ascii="Arial" w:hAnsi="Arial" w:cs="Arial"/>
              </w:rPr>
            </w:pPr>
            <w:r w:rsidRPr="007F71B2">
              <w:rPr>
                <w:rFonts w:ascii="Arial" w:hAnsi="Arial" w:cs="Arial"/>
              </w:rPr>
              <w:br/>
            </w:r>
            <w:r w:rsidR="00691B49" w:rsidRPr="002A714F">
              <w:rPr>
                <w:rFonts w:ascii="Arial" w:hAnsi="Arial" w:cs="Arial"/>
              </w:rPr>
              <w:t>EPS Ajustado es un indicador alternativo de desempeño de las ganancias básicas por acción informadas, en donde la utilidad neta como numerador incluye Ajustes. Para la conciliación, ver la presentación de analistas.</w:t>
            </w:r>
          </w:p>
        </w:tc>
      </w:tr>
      <w:tr w:rsidR="007F71B2" w:rsidRPr="007F71B2" w14:paraId="2392DD63" w14:textId="77777777" w:rsidTr="007F71B2">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38DEA3D0" w14:textId="521F77F7" w:rsidR="007F71B2" w:rsidRPr="007F71B2" w:rsidRDefault="007F71B2" w:rsidP="007F71B2">
            <w:pPr>
              <w:jc w:val="both"/>
              <w:rPr>
                <w:rFonts w:ascii="Arial" w:hAnsi="Arial" w:cs="Arial"/>
                <w:b/>
                <w:bCs/>
              </w:rPr>
            </w:pPr>
            <w:r w:rsidRPr="007F71B2">
              <w:rPr>
                <w:rFonts w:ascii="Arial" w:hAnsi="Arial" w:cs="Arial"/>
              </w:rPr>
              <w:lastRenderedPageBreak/>
              <w:br/>
            </w:r>
            <w:r w:rsidR="00691B49" w:rsidRPr="002A714F">
              <w:rPr>
                <w:rFonts w:ascii="Arial" w:hAnsi="Arial" w:cs="Arial"/>
                <w:b/>
                <w:bCs/>
              </w:rPr>
              <w:t>Posición bruta de efectivo</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503F32F6" w14:textId="5EBFEB34" w:rsidR="007F71B2" w:rsidRPr="007F71B2" w:rsidRDefault="007F71B2" w:rsidP="007F71B2">
            <w:pPr>
              <w:jc w:val="both"/>
              <w:rPr>
                <w:rFonts w:ascii="Arial" w:hAnsi="Arial" w:cs="Arial"/>
              </w:rPr>
            </w:pPr>
            <w:r w:rsidRPr="007F71B2">
              <w:rPr>
                <w:rFonts w:ascii="Arial" w:hAnsi="Arial" w:cs="Arial"/>
              </w:rPr>
              <w:br/>
            </w:r>
            <w:r w:rsidR="00691B49" w:rsidRPr="002A714F">
              <w:rPr>
                <w:rFonts w:ascii="Arial" w:hAnsi="Arial" w:cs="Arial"/>
              </w:rPr>
              <w:t>La Compañía define su posición bruta de efectivo consolidada como la suma de (i) efectivo y equivalentes de efectivo y (ii) valores (todos registrados en el estado consolidado de posición financiera).</w:t>
            </w:r>
          </w:p>
        </w:tc>
      </w:tr>
      <w:tr w:rsidR="007F71B2" w:rsidRPr="007F71B2" w14:paraId="3A780F4B" w14:textId="77777777" w:rsidTr="007F71B2">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5443E685" w14:textId="08F0B730" w:rsidR="007F71B2" w:rsidRPr="007F71B2" w:rsidRDefault="007F71B2" w:rsidP="007F71B2">
            <w:pPr>
              <w:jc w:val="both"/>
              <w:rPr>
                <w:rFonts w:ascii="Arial" w:hAnsi="Arial" w:cs="Arial"/>
                <w:b/>
                <w:bCs/>
              </w:rPr>
            </w:pPr>
            <w:r w:rsidRPr="007F71B2">
              <w:rPr>
                <w:rFonts w:ascii="Arial" w:hAnsi="Arial" w:cs="Arial"/>
              </w:rPr>
              <w:br/>
            </w:r>
            <w:r w:rsidR="00691B49" w:rsidRPr="002A714F">
              <w:rPr>
                <w:rFonts w:ascii="Arial" w:hAnsi="Arial" w:cs="Arial"/>
                <w:b/>
                <w:bCs/>
              </w:rPr>
              <w:t>Posición neta de efectivo</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4BEF6810" w14:textId="5D653721" w:rsidR="007F71B2" w:rsidRPr="007F71B2" w:rsidRDefault="007F71B2" w:rsidP="007F71B2">
            <w:pPr>
              <w:jc w:val="both"/>
              <w:rPr>
                <w:rFonts w:ascii="Arial" w:hAnsi="Arial" w:cs="Arial"/>
              </w:rPr>
            </w:pPr>
            <w:r w:rsidRPr="007F71B2">
              <w:rPr>
                <w:rFonts w:ascii="Arial" w:hAnsi="Arial" w:cs="Arial"/>
              </w:rPr>
              <w:br/>
            </w:r>
            <w:r w:rsidR="00691B49" w:rsidRPr="002A714F">
              <w:rPr>
                <w:rFonts w:ascii="Arial" w:hAnsi="Arial" w:cs="Arial"/>
              </w:rPr>
              <w:t>La Compañía define su posición neta de efectivo consolidada como la suma de (i) efectivo y equivalentes de efectivo y (ii) valores (todos registrados en el estado consolidado de posición financiera), menos (iii) pasivos financieros de financiamiento, más o menos (iv) contratos de tasa de interés relacionados con coberturas de valor razonable (todos registrados en el estado consolidado de posición financiera).</w:t>
            </w:r>
          </w:p>
        </w:tc>
      </w:tr>
      <w:tr w:rsidR="007F71B2" w:rsidRPr="007F71B2" w14:paraId="338CCE8C" w14:textId="77777777" w:rsidTr="007F71B2">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2AEF9626" w14:textId="4EB14766" w:rsidR="007F71B2" w:rsidRPr="007F71B2" w:rsidRDefault="007F71B2" w:rsidP="002A714F">
            <w:pPr>
              <w:rPr>
                <w:rFonts w:ascii="Arial" w:hAnsi="Arial" w:cs="Arial"/>
              </w:rPr>
            </w:pPr>
            <w:r w:rsidRPr="007F71B2">
              <w:rPr>
                <w:rFonts w:ascii="Arial" w:hAnsi="Arial" w:cs="Arial"/>
              </w:rPr>
              <w:br/>
            </w:r>
            <w:r w:rsidRPr="007F71B2">
              <w:rPr>
                <w:rFonts w:ascii="Arial" w:hAnsi="Arial" w:cs="Arial"/>
                <w:b/>
                <w:bCs/>
              </w:rPr>
              <w:t>F</w:t>
            </w:r>
            <w:r w:rsidR="00691B49" w:rsidRPr="002A714F">
              <w:rPr>
                <w:rFonts w:ascii="Arial" w:hAnsi="Arial" w:cs="Arial"/>
                <w:b/>
                <w:bCs/>
              </w:rPr>
              <w:t>lujo de efectivo libre</w:t>
            </w:r>
            <w:r w:rsidRPr="007F71B2">
              <w:rPr>
                <w:rFonts w:ascii="Arial" w:hAnsi="Arial" w:cs="Arial"/>
                <w:b/>
                <w:bCs/>
              </w:rPr>
              <w:t xml:space="preserve"> (FCF</w:t>
            </w:r>
            <w:r w:rsidR="002A714F">
              <w:rPr>
                <w:rFonts w:ascii="Arial" w:hAnsi="Arial" w:cs="Arial"/>
                <w:b/>
                <w:bCs/>
              </w:rPr>
              <w:t>)</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44600AD8" w14:textId="677BF163" w:rsidR="007F71B2" w:rsidRPr="007F71B2" w:rsidRDefault="007F71B2" w:rsidP="007F71B2">
            <w:pPr>
              <w:jc w:val="both"/>
              <w:rPr>
                <w:rFonts w:ascii="Arial" w:hAnsi="Arial" w:cs="Arial"/>
              </w:rPr>
            </w:pPr>
            <w:r w:rsidRPr="007F71B2">
              <w:rPr>
                <w:rFonts w:ascii="Arial" w:hAnsi="Arial" w:cs="Arial"/>
              </w:rPr>
              <w:br/>
            </w:r>
            <w:r w:rsidR="00691B49" w:rsidRPr="002A714F">
              <w:rPr>
                <w:rFonts w:ascii="Arial" w:hAnsi="Arial" w:cs="Arial"/>
              </w:rPr>
              <w:t>Para la definición del indicador alternativo de desempeño Flujo de Efectivo Libre, ver el Documento de Registro Universal, sección 2.1.6.1 de Discusión y Análisis de la Gerencia. Es un indicador clave que permite a la Compañía medir la cantidad de flujo de efectivo generado por las operaciones después del efectivo utilizado en actividades de inversión.</w:t>
            </w:r>
          </w:p>
        </w:tc>
      </w:tr>
      <w:tr w:rsidR="007F71B2" w:rsidRPr="007F71B2" w14:paraId="7FCB074E" w14:textId="77777777" w:rsidTr="007F71B2">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3BDC8EAD" w14:textId="61616B64" w:rsidR="007F71B2" w:rsidRPr="007F71B2" w:rsidRDefault="007F71B2" w:rsidP="007F71B2">
            <w:pPr>
              <w:jc w:val="both"/>
              <w:rPr>
                <w:rFonts w:ascii="Arial" w:hAnsi="Arial" w:cs="Arial"/>
              </w:rPr>
            </w:pPr>
            <w:r w:rsidRPr="007F71B2">
              <w:rPr>
                <w:rFonts w:ascii="Arial" w:hAnsi="Arial" w:cs="Arial"/>
              </w:rPr>
              <w:br/>
            </w:r>
            <w:r w:rsidR="00691B49" w:rsidRPr="007F71B2">
              <w:rPr>
                <w:rFonts w:ascii="Arial" w:hAnsi="Arial" w:cs="Arial"/>
                <w:b/>
                <w:bCs/>
              </w:rPr>
              <w:t xml:space="preserve">FCF </w:t>
            </w:r>
            <w:r w:rsidR="00691B49" w:rsidRPr="002A714F">
              <w:rPr>
                <w:rFonts w:ascii="Arial" w:hAnsi="Arial" w:cs="Arial"/>
                <w:b/>
                <w:bCs/>
              </w:rPr>
              <w:t>antes de Fusiones y Adquisiciones</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175A5712" w14:textId="0209BC48" w:rsidR="007F71B2" w:rsidRPr="007F71B2" w:rsidRDefault="007F71B2" w:rsidP="007F71B2">
            <w:pPr>
              <w:jc w:val="both"/>
              <w:rPr>
                <w:rFonts w:ascii="Arial" w:hAnsi="Arial" w:cs="Arial"/>
              </w:rPr>
            </w:pPr>
            <w:r w:rsidRPr="007F71B2">
              <w:rPr>
                <w:rFonts w:ascii="Arial" w:hAnsi="Arial" w:cs="Arial"/>
              </w:rPr>
              <w:br/>
            </w:r>
            <w:r w:rsidR="00691B49" w:rsidRPr="002A714F">
              <w:rPr>
                <w:rFonts w:ascii="Arial" w:hAnsi="Arial" w:cs="Arial"/>
              </w:rPr>
              <w:t>FCF antes de</w:t>
            </w:r>
            <w:r w:rsidR="00A038B9">
              <w:rPr>
                <w:rFonts w:ascii="Arial" w:hAnsi="Arial" w:cs="Arial"/>
              </w:rPr>
              <w:t xml:space="preserve"> Fusiones y Adquisiciones</w:t>
            </w:r>
            <w:r w:rsidR="00691B49" w:rsidRPr="002A714F">
              <w:rPr>
                <w:rFonts w:ascii="Arial" w:hAnsi="Arial" w:cs="Arial"/>
              </w:rPr>
              <w:t xml:space="preserve"> se refiere al Flujo de Efectivo Libre según se define en el Documento de Registro Universal, sección 2.1.6.1 ajustado por los ingresos netos de desinversiones y adquisiciones. Es un indicador alternativo de desempeño y clave que refleja el flujo de efectivo libre excluyendo aquellos flujos de efectivo resultantes de adquisiciones y desinversiones de negocios.</w:t>
            </w:r>
          </w:p>
        </w:tc>
      </w:tr>
      <w:tr w:rsidR="007F71B2" w:rsidRPr="007F71B2" w14:paraId="094B7175" w14:textId="77777777" w:rsidTr="007F71B2">
        <w:tc>
          <w:tcPr>
            <w:tcW w:w="1650" w:type="dxa"/>
            <w:tcBorders>
              <w:top w:val="nil"/>
              <w:left w:val="single" w:sz="8" w:space="0" w:color="000000"/>
              <w:bottom w:val="single" w:sz="8" w:space="0" w:color="000000"/>
              <w:right w:val="single" w:sz="8" w:space="0" w:color="000000"/>
            </w:tcBorders>
            <w:tcMar>
              <w:top w:w="0" w:type="dxa"/>
              <w:left w:w="105" w:type="dxa"/>
              <w:bottom w:w="0" w:type="dxa"/>
              <w:right w:w="105" w:type="dxa"/>
            </w:tcMar>
            <w:hideMark/>
          </w:tcPr>
          <w:p w14:paraId="2AE43D43" w14:textId="2239DE56" w:rsidR="007F71B2" w:rsidRPr="007F71B2" w:rsidRDefault="007F71B2" w:rsidP="007F71B2">
            <w:pPr>
              <w:jc w:val="both"/>
              <w:rPr>
                <w:rFonts w:ascii="Arial" w:hAnsi="Arial" w:cs="Arial"/>
              </w:rPr>
            </w:pPr>
            <w:r w:rsidRPr="007F71B2">
              <w:rPr>
                <w:rFonts w:ascii="Arial" w:hAnsi="Arial" w:cs="Arial"/>
              </w:rPr>
              <w:br/>
            </w:r>
            <w:r w:rsidRPr="007F71B2">
              <w:rPr>
                <w:rFonts w:ascii="Arial" w:hAnsi="Arial" w:cs="Arial"/>
                <w:b/>
                <w:bCs/>
              </w:rPr>
              <w:t xml:space="preserve">FCF </w:t>
            </w:r>
            <w:r w:rsidR="00691B49" w:rsidRPr="002A714F">
              <w:rPr>
                <w:rFonts w:ascii="Arial" w:hAnsi="Arial" w:cs="Arial"/>
                <w:b/>
                <w:bCs/>
              </w:rPr>
              <w:t xml:space="preserve">antes de Fusiones y Adquisiciones, y Financiamiento al Cliente </w:t>
            </w:r>
          </w:p>
        </w:tc>
        <w:tc>
          <w:tcPr>
            <w:tcW w:w="7410" w:type="dxa"/>
            <w:tcBorders>
              <w:top w:val="nil"/>
              <w:left w:val="nil"/>
              <w:bottom w:val="single" w:sz="8" w:space="0" w:color="000000"/>
              <w:right w:val="single" w:sz="8" w:space="0" w:color="000000"/>
            </w:tcBorders>
            <w:tcMar>
              <w:top w:w="0" w:type="dxa"/>
              <w:left w:w="105" w:type="dxa"/>
              <w:bottom w:w="0" w:type="dxa"/>
              <w:right w:w="105" w:type="dxa"/>
            </w:tcMar>
            <w:hideMark/>
          </w:tcPr>
          <w:p w14:paraId="110F0BFC" w14:textId="24F3DEB8" w:rsidR="007F71B2" w:rsidRPr="007F71B2" w:rsidRDefault="007F71B2" w:rsidP="007F71B2">
            <w:pPr>
              <w:jc w:val="both"/>
              <w:rPr>
                <w:rFonts w:ascii="Arial" w:hAnsi="Arial" w:cs="Arial"/>
              </w:rPr>
            </w:pPr>
            <w:r w:rsidRPr="007F71B2">
              <w:rPr>
                <w:rFonts w:ascii="Arial" w:hAnsi="Arial" w:cs="Arial"/>
              </w:rPr>
              <w:br/>
            </w:r>
            <w:r w:rsidR="00691B49" w:rsidRPr="002A714F">
              <w:rPr>
                <w:rFonts w:ascii="Arial" w:hAnsi="Arial" w:cs="Arial"/>
              </w:rPr>
              <w:t xml:space="preserve">FCF antes de </w:t>
            </w:r>
            <w:r w:rsidR="002A714F" w:rsidRPr="002A714F">
              <w:rPr>
                <w:rFonts w:ascii="Arial" w:hAnsi="Arial" w:cs="Arial"/>
              </w:rPr>
              <w:t>Fusiones y Adquisiciones,</w:t>
            </w:r>
            <w:r w:rsidR="00691B49" w:rsidRPr="002A714F">
              <w:rPr>
                <w:rFonts w:ascii="Arial" w:hAnsi="Arial" w:cs="Arial"/>
              </w:rPr>
              <w:t xml:space="preserve"> y Financiamiento al Cliente se refiere al Flujo de Efectivo Libre antes de fusiones y adquisiciones ajustado por el flujo de efectivo relacionado con actividades de financiamiento de aeronaves. Es un indicador alternativo de desempeño e indicador que puede ser utilizado ocasionalmente por la Compañía en su guía financiera, especialmente cuando existe una mayor incertidumbre en torno a las actividades de financiamiento al cliente.</w:t>
            </w:r>
          </w:p>
        </w:tc>
      </w:tr>
    </w:tbl>
    <w:p w14:paraId="4D6675DA" w14:textId="77777777" w:rsidR="007F71B2" w:rsidRPr="002A714F" w:rsidRDefault="007F71B2" w:rsidP="00D457F3">
      <w:pPr>
        <w:jc w:val="both"/>
        <w:rPr>
          <w:rFonts w:ascii="Arial" w:hAnsi="Arial" w:cs="Arial"/>
        </w:rPr>
      </w:pPr>
    </w:p>
    <w:p w14:paraId="6F547384" w14:textId="77777777" w:rsidR="002A714F" w:rsidRPr="002A714F" w:rsidRDefault="002A714F" w:rsidP="002A714F">
      <w:pPr>
        <w:jc w:val="both"/>
        <w:rPr>
          <w:rFonts w:ascii="Arial" w:hAnsi="Arial" w:cs="Arial"/>
          <w:b/>
          <w:bCs/>
        </w:rPr>
      </w:pPr>
      <w:r w:rsidRPr="002A714F">
        <w:rPr>
          <w:rFonts w:ascii="Arial" w:hAnsi="Arial" w:cs="Arial"/>
          <w:b/>
          <w:bCs/>
        </w:rPr>
        <w:t>Notas a pie de página:</w:t>
      </w:r>
    </w:p>
    <w:p w14:paraId="15E08E7C" w14:textId="5D2BDFA0" w:rsidR="002A714F" w:rsidRPr="002A714F" w:rsidRDefault="002A714F" w:rsidP="002A714F">
      <w:pPr>
        <w:pStyle w:val="Prrafodelista"/>
        <w:numPr>
          <w:ilvl w:val="0"/>
          <w:numId w:val="10"/>
        </w:numPr>
        <w:jc w:val="both"/>
        <w:rPr>
          <w:rFonts w:ascii="Arial" w:hAnsi="Arial" w:cs="Arial"/>
        </w:rPr>
      </w:pPr>
      <w:r w:rsidRPr="002A714F">
        <w:rPr>
          <w:rFonts w:ascii="Arial" w:hAnsi="Arial" w:cs="Arial"/>
        </w:rPr>
        <w:t>Antes de una reducción de dos aviones previamente registrados como vendidos en diciembre de 2021, para los cuales no fue posible el traslado debido a las sanciones internacionales contra Rusia.</w:t>
      </w:r>
    </w:p>
    <w:p w14:paraId="62C6E484" w14:textId="0998394B" w:rsidR="002A714F" w:rsidRPr="002A714F" w:rsidRDefault="002A714F" w:rsidP="002A714F">
      <w:pPr>
        <w:pStyle w:val="Prrafodelista"/>
        <w:numPr>
          <w:ilvl w:val="0"/>
          <w:numId w:val="10"/>
        </w:numPr>
        <w:jc w:val="both"/>
        <w:rPr>
          <w:rFonts w:ascii="Arial" w:hAnsi="Arial" w:cs="Arial"/>
        </w:rPr>
      </w:pPr>
      <w:r w:rsidRPr="002A714F">
        <w:rPr>
          <w:rFonts w:ascii="Arial" w:hAnsi="Arial" w:cs="Arial"/>
        </w:rPr>
        <w:t>Dos A350 entregados en arrendamiento operativo sin reconocimiento de ingresos en la entrega.</w:t>
      </w:r>
    </w:p>
    <w:p w14:paraId="03398202" w14:textId="159305C3" w:rsidR="002A714F" w:rsidRPr="002A714F" w:rsidRDefault="002A714F" w:rsidP="002A714F">
      <w:pPr>
        <w:pStyle w:val="Prrafodelista"/>
        <w:numPr>
          <w:ilvl w:val="0"/>
          <w:numId w:val="10"/>
        </w:numPr>
        <w:jc w:val="both"/>
        <w:rPr>
          <w:rFonts w:ascii="Arial" w:hAnsi="Arial" w:cs="Arial"/>
        </w:rPr>
      </w:pPr>
      <w:r w:rsidRPr="002A714F">
        <w:rPr>
          <w:rFonts w:ascii="Arial" w:hAnsi="Arial" w:cs="Arial"/>
        </w:rPr>
        <w:lastRenderedPageBreak/>
        <w:t>Airbus SE continúa utilizando el término Ganancia/Pérdida Neta. Es idéntico a la Utilidad/Pérdida del periodo atribuible a los propietarios de acciones de la empresa, según lo definido por las reglas del IFRS (Normas Internacionales de Información Financiera).</w:t>
      </w:r>
    </w:p>
    <w:p w14:paraId="503D4956" w14:textId="77777777" w:rsidR="002A714F" w:rsidRPr="002A714F" w:rsidRDefault="002A714F" w:rsidP="002A714F">
      <w:pPr>
        <w:jc w:val="both"/>
        <w:rPr>
          <w:rFonts w:ascii="Arial" w:hAnsi="Arial" w:cs="Arial"/>
        </w:rPr>
      </w:pPr>
    </w:p>
    <w:p w14:paraId="5A335471" w14:textId="77777777" w:rsidR="002A714F" w:rsidRPr="002A714F" w:rsidRDefault="002A714F" w:rsidP="002A714F">
      <w:pPr>
        <w:jc w:val="both"/>
        <w:rPr>
          <w:rFonts w:ascii="Arial" w:hAnsi="Arial" w:cs="Arial"/>
          <w:b/>
          <w:bCs/>
        </w:rPr>
      </w:pPr>
      <w:r w:rsidRPr="002A714F">
        <w:rPr>
          <w:rFonts w:ascii="Arial" w:hAnsi="Arial" w:cs="Arial"/>
          <w:b/>
          <w:bCs/>
        </w:rPr>
        <w:t>Declaración de salvaguardia:</w:t>
      </w:r>
    </w:p>
    <w:p w14:paraId="7E3B489E" w14:textId="77777777" w:rsidR="002A714F" w:rsidRPr="002A714F" w:rsidRDefault="002A714F" w:rsidP="002A714F">
      <w:pPr>
        <w:jc w:val="both"/>
        <w:rPr>
          <w:rFonts w:ascii="Arial" w:hAnsi="Arial" w:cs="Arial"/>
        </w:rPr>
      </w:pPr>
      <w:r w:rsidRPr="002A714F">
        <w:rPr>
          <w:rFonts w:ascii="Arial" w:hAnsi="Arial" w:cs="Arial"/>
        </w:rPr>
        <w:t>Este comunicado de prensa incluye declaraciones prospectivas. Se utilizan palabras como "anticipa", "cree", "estima", "espera", "pretende", "planea", "proyectos", "puede" y expresiones similares para identificar estas declaraciones prospectivas. Ejemplos de declaraciones prospectivas incluyen afirmaciones sobre la estrategia, cronogramas de incremento y entrega, introducción de nuevos productos y servicios y expectativas del mercado, así como declaraciones sobre el desempeño y las perspectivas futuras. Por su naturaleza, las declaraciones prospectivas implican riesgo e incertidumbre porque se refieren a eventos y circunstancias futuras y hay muchos factores que podrían causar que los resultados y desarrollos reales difieran materialmente de las declaraciones prospectivas expresadas o implícitas.</w:t>
      </w:r>
    </w:p>
    <w:p w14:paraId="435DBFDF" w14:textId="77777777" w:rsidR="002A714F" w:rsidRPr="002A714F" w:rsidRDefault="002A714F" w:rsidP="002A714F">
      <w:pPr>
        <w:jc w:val="both"/>
        <w:rPr>
          <w:rFonts w:ascii="Arial" w:hAnsi="Arial" w:cs="Arial"/>
        </w:rPr>
      </w:pPr>
    </w:p>
    <w:p w14:paraId="7E96AC31" w14:textId="77777777" w:rsidR="002A714F" w:rsidRPr="002A714F" w:rsidRDefault="002A714F" w:rsidP="002A714F">
      <w:pPr>
        <w:jc w:val="both"/>
        <w:rPr>
          <w:rFonts w:ascii="Arial" w:hAnsi="Arial" w:cs="Arial"/>
          <w:b/>
          <w:bCs/>
        </w:rPr>
      </w:pPr>
      <w:r w:rsidRPr="002A714F">
        <w:rPr>
          <w:rFonts w:ascii="Arial" w:hAnsi="Arial" w:cs="Arial"/>
          <w:b/>
          <w:bCs/>
        </w:rPr>
        <w:t>Estos factores incluyen, pero no se limitan a:</w:t>
      </w:r>
    </w:p>
    <w:p w14:paraId="7558E05D" w14:textId="1F038C2E"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Cambios en las condiciones económicas, políticas o del mercado en general, incluida la naturaleza cíclica de algunos negocios de Airbus;</w:t>
      </w:r>
    </w:p>
    <w:p w14:paraId="6DA446B2" w14:textId="696DFEDE"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Disrupciones significativas en los viajes aéreos (incluidas las consecuencias de la propagación de enfermedades o ataques terroristas);</w:t>
      </w:r>
    </w:p>
    <w:p w14:paraId="5238FEB1" w14:textId="226E6FDC"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Fluctuaciones en las tasas de cambio de divisas, en particular entre el euro y el dólar estadounidense;</w:t>
      </w:r>
    </w:p>
    <w:p w14:paraId="6F8FB905" w14:textId="502F092C"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La ejecución exitosa de planes internos de desempeño, incluidos los esfuerzos de reducción de costos y productividad;</w:t>
      </w:r>
    </w:p>
    <w:p w14:paraId="77B9E428" w14:textId="299752B0"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Riesgos de desempeño de productos, así como riesgos de desarrollo y gestión de programas;</w:t>
      </w:r>
    </w:p>
    <w:p w14:paraId="3172CFBD" w14:textId="2B27992B"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Rendimiento de clientes, proveedores y subcontratistas o negociaciones de contratos, incluidos problemas de financiamiento;</w:t>
      </w:r>
    </w:p>
    <w:p w14:paraId="1C984D38" w14:textId="293EA440"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Competencia y consolidación en la industria aeroespacial y de defensa;</w:t>
      </w:r>
    </w:p>
    <w:p w14:paraId="19D722BB" w14:textId="63F89DC5"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Disputas significativas de negociación colectiva de trabajo;</w:t>
      </w:r>
    </w:p>
    <w:p w14:paraId="6D5C1B0D" w14:textId="1B83D50A"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Resultado de procesos políticos y legales, incluida la disponibilidad de financiamiento gubernamental para ciertos programas y el tamaño de los presupuestos de adquisiciones de defensa y espacio;</w:t>
      </w:r>
    </w:p>
    <w:p w14:paraId="0186A7A1" w14:textId="2FC97C09"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Costos de investigación y desarrollo relacionados con nuevos productos;</w:t>
      </w:r>
    </w:p>
    <w:p w14:paraId="25D9802A" w14:textId="0B1B74E5"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Riesgos legales, financieros y gubernamentales relacionados con transacciones internacionales;</w:t>
      </w:r>
    </w:p>
    <w:p w14:paraId="24169956" w14:textId="6D810788"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Procedimientos legales y de investigación y otros riesgos e incertidumbres económicas, políticas y tecnológicas;</w:t>
      </w:r>
    </w:p>
    <w:p w14:paraId="12054190" w14:textId="611626E1"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Cambios en las expectativas sociales y requisitos regulatorios sobre el cambio climático;</w:t>
      </w:r>
    </w:p>
    <w:p w14:paraId="6EB0EDD1" w14:textId="28976C5F"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lastRenderedPageBreak/>
        <w:t>El impacto completo de la pandemia de COVID-19 y la consecuente crisis sanitaria y económica;</w:t>
      </w:r>
    </w:p>
    <w:p w14:paraId="14A04B79" w14:textId="57921045" w:rsidR="002A714F" w:rsidRPr="002A714F" w:rsidRDefault="002A714F" w:rsidP="002A714F">
      <w:pPr>
        <w:pStyle w:val="Prrafodelista"/>
        <w:numPr>
          <w:ilvl w:val="0"/>
          <w:numId w:val="5"/>
        </w:numPr>
        <w:jc w:val="both"/>
        <w:rPr>
          <w:rFonts w:ascii="Arial" w:hAnsi="Arial" w:cs="Arial"/>
        </w:rPr>
      </w:pPr>
      <w:r w:rsidRPr="002A714F">
        <w:rPr>
          <w:rFonts w:ascii="Arial" w:hAnsi="Arial" w:cs="Arial"/>
        </w:rPr>
        <w:t>Agravamiento de eventos geopolíticos adversos, incluida la invasión de Ucrania por parte de Rusia y la consiguiente imposición de restricciones de control de exportaciones y sanciones internacionales, y crecientes tensiones militares en todo el mundo.</w:t>
      </w:r>
    </w:p>
    <w:p w14:paraId="647C2969" w14:textId="77777777" w:rsidR="002A714F" w:rsidRPr="002A714F" w:rsidRDefault="002A714F" w:rsidP="002A714F">
      <w:pPr>
        <w:jc w:val="both"/>
        <w:rPr>
          <w:rFonts w:ascii="Arial" w:hAnsi="Arial" w:cs="Arial"/>
        </w:rPr>
      </w:pPr>
    </w:p>
    <w:p w14:paraId="0A4D93CA" w14:textId="77777777" w:rsidR="002A714F" w:rsidRPr="002A714F" w:rsidRDefault="002A714F" w:rsidP="002A714F">
      <w:pPr>
        <w:jc w:val="both"/>
        <w:rPr>
          <w:rFonts w:ascii="Arial" w:hAnsi="Arial" w:cs="Arial"/>
        </w:rPr>
      </w:pPr>
      <w:r w:rsidRPr="002A714F">
        <w:rPr>
          <w:rFonts w:ascii="Arial" w:hAnsi="Arial" w:cs="Arial"/>
        </w:rPr>
        <w:t xml:space="preserve">Como resultado, los resultados reales de Airbus SE pueden diferir materialmente de los planes, objetivos y expectativas establecidos en tales declaraciones prospectivas. Para obtener más información sobre el impacto de la invasión de Ucrania por parte de Rusia, consulte la nota 2 "Crisis de Ucrania" de las Notas a los Estados Financieros Intermedios Consolidados No Auditados IFRS de Airbus SE para el período de seis meses finalizado el 30 de junio de 2023. Para obtener más información sobre el impacto del Entorno Macroeconómico, consulte la nota 3 "Entorno Macroeconómico" de las Notas a los Estados Financieros Intermedios Consolidados No Auditados IFRS de Airbus SE para el período de seis meses finalizado el 30 de junio de 2023. Para obtener más información sobre los factores que podrían causar que los resultados futuros difieran de tales declaraciones prospectivas, consulte el informe anual más reciente de Airbus SE, incluidos los estados financieros y las notas a los mismos, el Documento de Registro Universal más reciente y los Factores de Riesgo más recientes. Cualquier declaración prospectiva contenida en este comunicado de prensa es válida a partir de la fecha de este comunicado de prensa. Airbus SE no tiene ninguna obligación de revisar públicamente o actualizar cualquier declaración prospectiva a la luz de nueva información, eventos futuros u otros. </w:t>
      </w:r>
    </w:p>
    <w:p w14:paraId="5D2B5C69" w14:textId="77777777" w:rsidR="002A714F" w:rsidRPr="002A714F" w:rsidRDefault="002A714F" w:rsidP="002A714F">
      <w:pPr>
        <w:jc w:val="both"/>
        <w:rPr>
          <w:rFonts w:ascii="Arial" w:hAnsi="Arial" w:cs="Arial"/>
        </w:rPr>
      </w:pPr>
    </w:p>
    <w:p w14:paraId="6385128A" w14:textId="77777777" w:rsidR="002A714F" w:rsidRPr="002A714F" w:rsidRDefault="002A714F" w:rsidP="002A714F">
      <w:pPr>
        <w:jc w:val="both"/>
        <w:rPr>
          <w:rFonts w:ascii="Arial" w:hAnsi="Arial" w:cs="Arial"/>
          <w:b/>
          <w:bCs/>
        </w:rPr>
      </w:pPr>
      <w:r w:rsidRPr="002A714F">
        <w:rPr>
          <w:rFonts w:ascii="Arial" w:hAnsi="Arial" w:cs="Arial"/>
          <w:b/>
          <w:bCs/>
        </w:rPr>
        <w:t>Redondeo</w:t>
      </w:r>
    </w:p>
    <w:p w14:paraId="23E272F0" w14:textId="032535A4" w:rsidR="002A714F" w:rsidRPr="002A714F" w:rsidRDefault="002A714F" w:rsidP="002A714F">
      <w:pPr>
        <w:jc w:val="both"/>
        <w:rPr>
          <w:rFonts w:ascii="Arial" w:hAnsi="Arial" w:cs="Arial"/>
        </w:rPr>
      </w:pPr>
      <w:r w:rsidRPr="002A714F">
        <w:rPr>
          <w:rFonts w:ascii="Arial" w:hAnsi="Arial" w:cs="Arial"/>
        </w:rPr>
        <w:t>Debido al redondeo, los números presentados pueden no sumar exactamente a los totales proporcionados y los porcentajes pueden no reflejar exactamente las cifras absolutas.</w:t>
      </w:r>
    </w:p>
    <w:sectPr w:rsidR="002A714F" w:rsidRPr="002A714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6EF9" w14:textId="77777777" w:rsidR="00E60CD6" w:rsidRDefault="00E60CD6" w:rsidP="00B07D50">
      <w:pPr>
        <w:spacing w:after="0" w:line="240" w:lineRule="auto"/>
      </w:pPr>
      <w:r>
        <w:separator/>
      </w:r>
    </w:p>
  </w:endnote>
  <w:endnote w:type="continuationSeparator" w:id="0">
    <w:p w14:paraId="3E5A1FD5" w14:textId="77777777" w:rsidR="00E60CD6" w:rsidRDefault="00E60CD6" w:rsidP="00B0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6490" w14:textId="77777777" w:rsidR="00E60CD6" w:rsidRDefault="00E60CD6" w:rsidP="00B07D50">
      <w:pPr>
        <w:spacing w:after="0" w:line="240" w:lineRule="auto"/>
      </w:pPr>
      <w:r>
        <w:separator/>
      </w:r>
    </w:p>
  </w:footnote>
  <w:footnote w:type="continuationSeparator" w:id="0">
    <w:p w14:paraId="345EC374" w14:textId="77777777" w:rsidR="00E60CD6" w:rsidRDefault="00E60CD6" w:rsidP="00B07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475F" w14:textId="7AC96418" w:rsidR="00B07D50" w:rsidRDefault="00B07D50">
    <w:pPr>
      <w:pStyle w:val="Encabezado"/>
    </w:pPr>
    <w:r>
      <w:rPr>
        <w:noProof/>
      </w:rPr>
      <w:drawing>
        <wp:anchor distT="0" distB="0" distL="114300" distR="114300" simplePos="0" relativeHeight="251658240" behindDoc="0" locked="0" layoutInCell="1" allowOverlap="1" wp14:anchorId="1B11EDAC" wp14:editId="79EA39EE">
          <wp:simplePos x="0" y="0"/>
          <wp:positionH relativeFrom="margin">
            <wp:align>right</wp:align>
          </wp:positionH>
          <wp:positionV relativeFrom="paragraph">
            <wp:posOffset>-430530</wp:posOffset>
          </wp:positionV>
          <wp:extent cx="5612130" cy="873125"/>
          <wp:effectExtent l="0" t="0" r="7620" b="3175"/>
          <wp:wrapSquare wrapText="bothSides"/>
          <wp:docPr id="29" name="image3.pn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29" name="image3.png" descr="Imagen que contiene Forma&#10;&#10;Descripción generada automáticamente"/>
                  <pic:cNvPicPr preferRelativeResize="0"/>
                </pic:nvPicPr>
                <pic:blipFill>
                  <a:blip r:embed="rId1">
                    <a:extLst>
                      <a:ext uri="{28A0092B-C50C-407E-A947-70E740481C1C}">
                        <a14:useLocalDpi xmlns:a14="http://schemas.microsoft.com/office/drawing/2010/main" val="0"/>
                      </a:ext>
                    </a:extLst>
                  </a:blip>
                  <a:srcRect t="591" r="6498" b="585"/>
                  <a:stretch>
                    <a:fillRect/>
                  </a:stretch>
                </pic:blipFill>
                <pic:spPr>
                  <a:xfrm>
                    <a:off x="0" y="0"/>
                    <a:ext cx="5612130" cy="8731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A01"/>
    <w:multiLevelType w:val="hybridMultilevel"/>
    <w:tmpl w:val="7A269230"/>
    <w:lvl w:ilvl="0" w:tplc="31143ACE">
      <w:start w:val="72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67307"/>
    <w:multiLevelType w:val="hybridMultilevel"/>
    <w:tmpl w:val="40602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7A052F"/>
    <w:multiLevelType w:val="hybridMultilevel"/>
    <w:tmpl w:val="03483AE8"/>
    <w:lvl w:ilvl="0" w:tplc="31143ACE">
      <w:start w:val="72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0347C0"/>
    <w:multiLevelType w:val="hybridMultilevel"/>
    <w:tmpl w:val="9F8687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E36FE6"/>
    <w:multiLevelType w:val="hybridMultilevel"/>
    <w:tmpl w:val="57B2C35A"/>
    <w:lvl w:ilvl="0" w:tplc="31143ACE">
      <w:start w:val="72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88307C"/>
    <w:multiLevelType w:val="hybridMultilevel"/>
    <w:tmpl w:val="8BE20232"/>
    <w:lvl w:ilvl="0" w:tplc="31143ACE">
      <w:start w:val="72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757859"/>
    <w:multiLevelType w:val="hybridMultilevel"/>
    <w:tmpl w:val="7D465598"/>
    <w:lvl w:ilvl="0" w:tplc="31143ACE">
      <w:start w:val="72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D31C47"/>
    <w:multiLevelType w:val="hybridMultilevel"/>
    <w:tmpl w:val="2778A97E"/>
    <w:lvl w:ilvl="0" w:tplc="31143ACE">
      <w:start w:val="72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64222B"/>
    <w:multiLevelType w:val="hybridMultilevel"/>
    <w:tmpl w:val="069E1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060BB3"/>
    <w:multiLevelType w:val="hybridMultilevel"/>
    <w:tmpl w:val="FD147962"/>
    <w:lvl w:ilvl="0" w:tplc="31143ACE">
      <w:start w:val="72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B773FF"/>
    <w:multiLevelType w:val="hybridMultilevel"/>
    <w:tmpl w:val="218C82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42157502">
    <w:abstractNumId w:val="1"/>
  </w:num>
  <w:num w:numId="2" w16cid:durableId="332071954">
    <w:abstractNumId w:val="8"/>
  </w:num>
  <w:num w:numId="3" w16cid:durableId="1299452161">
    <w:abstractNumId w:val="0"/>
  </w:num>
  <w:num w:numId="4" w16cid:durableId="1257593979">
    <w:abstractNumId w:val="5"/>
  </w:num>
  <w:num w:numId="5" w16cid:durableId="1853687119">
    <w:abstractNumId w:val="7"/>
  </w:num>
  <w:num w:numId="6" w16cid:durableId="131946255">
    <w:abstractNumId w:val="2"/>
  </w:num>
  <w:num w:numId="7" w16cid:durableId="898177046">
    <w:abstractNumId w:val="6"/>
  </w:num>
  <w:num w:numId="8" w16cid:durableId="456804536">
    <w:abstractNumId w:val="9"/>
  </w:num>
  <w:num w:numId="9" w16cid:durableId="842664093">
    <w:abstractNumId w:val="3"/>
  </w:num>
  <w:num w:numId="10" w16cid:durableId="75829178">
    <w:abstractNumId w:val="10"/>
  </w:num>
  <w:num w:numId="11" w16cid:durableId="1914048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F0"/>
    <w:rsid w:val="000A739F"/>
    <w:rsid w:val="000D769F"/>
    <w:rsid w:val="00140C13"/>
    <w:rsid w:val="00151180"/>
    <w:rsid w:val="002A714F"/>
    <w:rsid w:val="002B1613"/>
    <w:rsid w:val="00331E8A"/>
    <w:rsid w:val="00333CBC"/>
    <w:rsid w:val="003854B6"/>
    <w:rsid w:val="005A442E"/>
    <w:rsid w:val="00636057"/>
    <w:rsid w:val="006647DC"/>
    <w:rsid w:val="00670CF0"/>
    <w:rsid w:val="00691B49"/>
    <w:rsid w:val="007C0D4A"/>
    <w:rsid w:val="007C4DD5"/>
    <w:rsid w:val="007F71B2"/>
    <w:rsid w:val="00987C9F"/>
    <w:rsid w:val="00A038B9"/>
    <w:rsid w:val="00B07D50"/>
    <w:rsid w:val="00B155D5"/>
    <w:rsid w:val="00BC3F20"/>
    <w:rsid w:val="00C3687E"/>
    <w:rsid w:val="00D1476F"/>
    <w:rsid w:val="00D457F3"/>
    <w:rsid w:val="00E60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F97A"/>
  <w15:chartTrackingRefBased/>
  <w15:docId w15:val="{BF28BCCD-A318-441E-85F6-4B4243B6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7D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D50"/>
  </w:style>
  <w:style w:type="paragraph" w:styleId="Piedepgina">
    <w:name w:val="footer"/>
    <w:basedOn w:val="Normal"/>
    <w:link w:val="PiedepginaCar"/>
    <w:uiPriority w:val="99"/>
    <w:unhideWhenUsed/>
    <w:rsid w:val="00B07D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D50"/>
  </w:style>
  <w:style w:type="paragraph" w:styleId="Prrafodelista">
    <w:name w:val="List Paragraph"/>
    <w:basedOn w:val="Normal"/>
    <w:uiPriority w:val="34"/>
    <w:qFormat/>
    <w:rsid w:val="002B1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0475">
      <w:bodyDiv w:val="1"/>
      <w:marLeft w:val="0"/>
      <w:marRight w:val="0"/>
      <w:marTop w:val="0"/>
      <w:marBottom w:val="0"/>
      <w:divBdr>
        <w:top w:val="none" w:sz="0" w:space="0" w:color="auto"/>
        <w:left w:val="none" w:sz="0" w:space="0" w:color="auto"/>
        <w:bottom w:val="none" w:sz="0" w:space="0" w:color="auto"/>
        <w:right w:val="none" w:sz="0" w:space="0" w:color="auto"/>
      </w:divBdr>
    </w:div>
    <w:div w:id="190654345">
      <w:bodyDiv w:val="1"/>
      <w:marLeft w:val="0"/>
      <w:marRight w:val="0"/>
      <w:marTop w:val="0"/>
      <w:marBottom w:val="0"/>
      <w:divBdr>
        <w:top w:val="none" w:sz="0" w:space="0" w:color="auto"/>
        <w:left w:val="none" w:sz="0" w:space="0" w:color="auto"/>
        <w:bottom w:val="none" w:sz="0" w:space="0" w:color="auto"/>
        <w:right w:val="none" w:sz="0" w:space="0" w:color="auto"/>
      </w:divBdr>
    </w:div>
    <w:div w:id="283124815">
      <w:bodyDiv w:val="1"/>
      <w:marLeft w:val="0"/>
      <w:marRight w:val="0"/>
      <w:marTop w:val="0"/>
      <w:marBottom w:val="0"/>
      <w:divBdr>
        <w:top w:val="none" w:sz="0" w:space="0" w:color="auto"/>
        <w:left w:val="none" w:sz="0" w:space="0" w:color="auto"/>
        <w:bottom w:val="none" w:sz="0" w:space="0" w:color="auto"/>
        <w:right w:val="none" w:sz="0" w:space="0" w:color="auto"/>
      </w:divBdr>
    </w:div>
    <w:div w:id="298343518">
      <w:bodyDiv w:val="1"/>
      <w:marLeft w:val="0"/>
      <w:marRight w:val="0"/>
      <w:marTop w:val="0"/>
      <w:marBottom w:val="0"/>
      <w:divBdr>
        <w:top w:val="none" w:sz="0" w:space="0" w:color="auto"/>
        <w:left w:val="none" w:sz="0" w:space="0" w:color="auto"/>
        <w:bottom w:val="none" w:sz="0" w:space="0" w:color="auto"/>
        <w:right w:val="none" w:sz="0" w:space="0" w:color="auto"/>
      </w:divBdr>
    </w:div>
    <w:div w:id="454183351">
      <w:bodyDiv w:val="1"/>
      <w:marLeft w:val="0"/>
      <w:marRight w:val="0"/>
      <w:marTop w:val="0"/>
      <w:marBottom w:val="0"/>
      <w:divBdr>
        <w:top w:val="none" w:sz="0" w:space="0" w:color="auto"/>
        <w:left w:val="none" w:sz="0" w:space="0" w:color="auto"/>
        <w:bottom w:val="none" w:sz="0" w:space="0" w:color="auto"/>
        <w:right w:val="none" w:sz="0" w:space="0" w:color="auto"/>
      </w:divBdr>
    </w:div>
    <w:div w:id="508760258">
      <w:bodyDiv w:val="1"/>
      <w:marLeft w:val="0"/>
      <w:marRight w:val="0"/>
      <w:marTop w:val="0"/>
      <w:marBottom w:val="0"/>
      <w:divBdr>
        <w:top w:val="none" w:sz="0" w:space="0" w:color="auto"/>
        <w:left w:val="none" w:sz="0" w:space="0" w:color="auto"/>
        <w:bottom w:val="none" w:sz="0" w:space="0" w:color="auto"/>
        <w:right w:val="none" w:sz="0" w:space="0" w:color="auto"/>
      </w:divBdr>
    </w:div>
    <w:div w:id="624626439">
      <w:bodyDiv w:val="1"/>
      <w:marLeft w:val="0"/>
      <w:marRight w:val="0"/>
      <w:marTop w:val="0"/>
      <w:marBottom w:val="0"/>
      <w:divBdr>
        <w:top w:val="none" w:sz="0" w:space="0" w:color="auto"/>
        <w:left w:val="none" w:sz="0" w:space="0" w:color="auto"/>
        <w:bottom w:val="none" w:sz="0" w:space="0" w:color="auto"/>
        <w:right w:val="none" w:sz="0" w:space="0" w:color="auto"/>
      </w:divBdr>
    </w:div>
    <w:div w:id="777258365">
      <w:bodyDiv w:val="1"/>
      <w:marLeft w:val="0"/>
      <w:marRight w:val="0"/>
      <w:marTop w:val="0"/>
      <w:marBottom w:val="0"/>
      <w:divBdr>
        <w:top w:val="none" w:sz="0" w:space="0" w:color="auto"/>
        <w:left w:val="none" w:sz="0" w:space="0" w:color="auto"/>
        <w:bottom w:val="none" w:sz="0" w:space="0" w:color="auto"/>
        <w:right w:val="none" w:sz="0" w:space="0" w:color="auto"/>
      </w:divBdr>
    </w:div>
    <w:div w:id="922761955">
      <w:bodyDiv w:val="1"/>
      <w:marLeft w:val="0"/>
      <w:marRight w:val="0"/>
      <w:marTop w:val="0"/>
      <w:marBottom w:val="0"/>
      <w:divBdr>
        <w:top w:val="none" w:sz="0" w:space="0" w:color="auto"/>
        <w:left w:val="none" w:sz="0" w:space="0" w:color="auto"/>
        <w:bottom w:val="none" w:sz="0" w:space="0" w:color="auto"/>
        <w:right w:val="none" w:sz="0" w:space="0" w:color="auto"/>
      </w:divBdr>
    </w:div>
    <w:div w:id="1020660592">
      <w:bodyDiv w:val="1"/>
      <w:marLeft w:val="0"/>
      <w:marRight w:val="0"/>
      <w:marTop w:val="0"/>
      <w:marBottom w:val="0"/>
      <w:divBdr>
        <w:top w:val="none" w:sz="0" w:space="0" w:color="auto"/>
        <w:left w:val="none" w:sz="0" w:space="0" w:color="auto"/>
        <w:bottom w:val="none" w:sz="0" w:space="0" w:color="auto"/>
        <w:right w:val="none" w:sz="0" w:space="0" w:color="auto"/>
      </w:divBdr>
    </w:div>
    <w:div w:id="1066414124">
      <w:bodyDiv w:val="1"/>
      <w:marLeft w:val="0"/>
      <w:marRight w:val="0"/>
      <w:marTop w:val="0"/>
      <w:marBottom w:val="0"/>
      <w:divBdr>
        <w:top w:val="none" w:sz="0" w:space="0" w:color="auto"/>
        <w:left w:val="none" w:sz="0" w:space="0" w:color="auto"/>
        <w:bottom w:val="none" w:sz="0" w:space="0" w:color="auto"/>
        <w:right w:val="none" w:sz="0" w:space="0" w:color="auto"/>
      </w:divBdr>
    </w:div>
    <w:div w:id="1167476931">
      <w:bodyDiv w:val="1"/>
      <w:marLeft w:val="0"/>
      <w:marRight w:val="0"/>
      <w:marTop w:val="0"/>
      <w:marBottom w:val="0"/>
      <w:divBdr>
        <w:top w:val="none" w:sz="0" w:space="0" w:color="auto"/>
        <w:left w:val="none" w:sz="0" w:space="0" w:color="auto"/>
        <w:bottom w:val="none" w:sz="0" w:space="0" w:color="auto"/>
        <w:right w:val="none" w:sz="0" w:space="0" w:color="auto"/>
      </w:divBdr>
    </w:div>
    <w:div w:id="1416322345">
      <w:bodyDiv w:val="1"/>
      <w:marLeft w:val="0"/>
      <w:marRight w:val="0"/>
      <w:marTop w:val="0"/>
      <w:marBottom w:val="0"/>
      <w:divBdr>
        <w:top w:val="none" w:sz="0" w:space="0" w:color="auto"/>
        <w:left w:val="none" w:sz="0" w:space="0" w:color="auto"/>
        <w:bottom w:val="none" w:sz="0" w:space="0" w:color="auto"/>
        <w:right w:val="none" w:sz="0" w:space="0" w:color="auto"/>
      </w:divBdr>
    </w:div>
    <w:div w:id="1446465901">
      <w:bodyDiv w:val="1"/>
      <w:marLeft w:val="0"/>
      <w:marRight w:val="0"/>
      <w:marTop w:val="0"/>
      <w:marBottom w:val="0"/>
      <w:divBdr>
        <w:top w:val="none" w:sz="0" w:space="0" w:color="auto"/>
        <w:left w:val="none" w:sz="0" w:space="0" w:color="auto"/>
        <w:bottom w:val="none" w:sz="0" w:space="0" w:color="auto"/>
        <w:right w:val="none" w:sz="0" w:space="0" w:color="auto"/>
      </w:divBdr>
    </w:div>
    <w:div w:id="1491367900">
      <w:bodyDiv w:val="1"/>
      <w:marLeft w:val="0"/>
      <w:marRight w:val="0"/>
      <w:marTop w:val="0"/>
      <w:marBottom w:val="0"/>
      <w:divBdr>
        <w:top w:val="none" w:sz="0" w:space="0" w:color="auto"/>
        <w:left w:val="none" w:sz="0" w:space="0" w:color="auto"/>
        <w:bottom w:val="none" w:sz="0" w:space="0" w:color="auto"/>
        <w:right w:val="none" w:sz="0" w:space="0" w:color="auto"/>
      </w:divBdr>
    </w:div>
    <w:div w:id="1782608746">
      <w:bodyDiv w:val="1"/>
      <w:marLeft w:val="0"/>
      <w:marRight w:val="0"/>
      <w:marTop w:val="0"/>
      <w:marBottom w:val="0"/>
      <w:divBdr>
        <w:top w:val="none" w:sz="0" w:space="0" w:color="auto"/>
        <w:left w:val="none" w:sz="0" w:space="0" w:color="auto"/>
        <w:bottom w:val="none" w:sz="0" w:space="0" w:color="auto"/>
        <w:right w:val="none" w:sz="0" w:space="0" w:color="auto"/>
      </w:divBdr>
    </w:div>
    <w:div w:id="1923249400">
      <w:bodyDiv w:val="1"/>
      <w:marLeft w:val="0"/>
      <w:marRight w:val="0"/>
      <w:marTop w:val="0"/>
      <w:marBottom w:val="0"/>
      <w:divBdr>
        <w:top w:val="none" w:sz="0" w:space="0" w:color="auto"/>
        <w:left w:val="none" w:sz="0" w:space="0" w:color="auto"/>
        <w:bottom w:val="none" w:sz="0" w:space="0" w:color="auto"/>
        <w:right w:val="none" w:sz="0" w:space="0" w:color="auto"/>
      </w:divBdr>
    </w:div>
    <w:div w:id="1952861933">
      <w:bodyDiv w:val="1"/>
      <w:marLeft w:val="0"/>
      <w:marRight w:val="0"/>
      <w:marTop w:val="0"/>
      <w:marBottom w:val="0"/>
      <w:divBdr>
        <w:top w:val="none" w:sz="0" w:space="0" w:color="auto"/>
        <w:left w:val="none" w:sz="0" w:space="0" w:color="auto"/>
        <w:bottom w:val="none" w:sz="0" w:space="0" w:color="auto"/>
        <w:right w:val="none" w:sz="0" w:space="0" w:color="auto"/>
      </w:divBdr>
    </w:div>
    <w:div w:id="21138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11</Pages>
  <Words>3154</Words>
  <Characters>17350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Herrera</dc:creator>
  <cp:keywords/>
  <dc:description/>
  <cp:lastModifiedBy>Adriana Herrera</cp:lastModifiedBy>
  <cp:revision>8</cp:revision>
  <dcterms:created xsi:type="dcterms:W3CDTF">2023-07-26T17:46:00Z</dcterms:created>
  <dcterms:modified xsi:type="dcterms:W3CDTF">2023-07-26T23:19:00Z</dcterms:modified>
</cp:coreProperties>
</file>